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C3" w:rsidRPr="001836C3" w:rsidRDefault="001836C3">
      <w:pPr>
        <w:rPr>
          <w:rFonts w:ascii="Arial" w:hAnsi="Arial" w:cs="Arial"/>
          <w:b/>
          <w:sz w:val="20"/>
          <w:szCs w:val="20"/>
        </w:rPr>
      </w:pPr>
      <w:r w:rsidRPr="001836C3">
        <w:rPr>
          <w:rFonts w:ascii="Arial" w:hAnsi="Arial" w:cs="Arial"/>
          <w:b/>
          <w:sz w:val="20"/>
          <w:szCs w:val="20"/>
        </w:rPr>
        <w:t>PVS: Annual General Mandate</w:t>
      </w:r>
    </w:p>
    <w:p w:rsidR="00713E65" w:rsidRDefault="001D29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B94EED">
        <w:rPr>
          <w:rFonts w:ascii="Arial" w:hAnsi="Arial" w:cs="Arial"/>
          <w:sz w:val="20"/>
          <w:szCs w:val="20"/>
        </w:rPr>
        <w:t>28</w:t>
      </w:r>
      <w:r w:rsidR="00B94EED" w:rsidRPr="00B94EED">
        <w:rPr>
          <w:rFonts w:ascii="Arial" w:hAnsi="Arial" w:cs="Arial"/>
          <w:sz w:val="20"/>
          <w:szCs w:val="20"/>
          <w:vertAlign w:val="superscript"/>
        </w:rPr>
        <w:t>th</w:t>
      </w:r>
      <w:r w:rsidR="00B94EED">
        <w:rPr>
          <w:rFonts w:ascii="Arial" w:hAnsi="Arial" w:cs="Arial"/>
          <w:sz w:val="20"/>
          <w:szCs w:val="20"/>
        </w:rPr>
        <w:t xml:space="preserve"> April, 2017, </w:t>
      </w:r>
      <w:r w:rsidR="00B17897">
        <w:rPr>
          <w:rFonts w:ascii="Arial" w:hAnsi="Arial" w:cs="Arial"/>
          <w:sz w:val="20"/>
          <w:szCs w:val="20"/>
        </w:rPr>
        <w:t>Vietnam Oil and G</w:t>
      </w:r>
      <w:r w:rsidR="00B17897" w:rsidRPr="00B17897">
        <w:rPr>
          <w:rFonts w:ascii="Arial" w:hAnsi="Arial" w:cs="Arial"/>
          <w:sz w:val="20"/>
          <w:szCs w:val="20"/>
        </w:rPr>
        <w:t>as</w:t>
      </w:r>
      <w:r w:rsidR="00C36D71">
        <w:rPr>
          <w:rFonts w:ascii="Arial" w:hAnsi="Arial" w:cs="Arial"/>
          <w:sz w:val="20"/>
          <w:szCs w:val="20"/>
        </w:rPr>
        <w:t xml:space="preserve"> Group </w:t>
      </w:r>
      <w:proofErr w:type="spellStart"/>
      <w:r w:rsidR="00C36D71">
        <w:rPr>
          <w:rFonts w:ascii="Arial" w:hAnsi="Arial" w:cs="Arial"/>
          <w:sz w:val="20"/>
          <w:szCs w:val="20"/>
        </w:rPr>
        <w:t>PetroVietnam</w:t>
      </w:r>
      <w:proofErr w:type="spellEnd"/>
      <w:r w:rsidR="00C36D71">
        <w:rPr>
          <w:rFonts w:ascii="Arial" w:hAnsi="Arial" w:cs="Arial"/>
          <w:sz w:val="20"/>
          <w:szCs w:val="20"/>
        </w:rPr>
        <w:t xml:space="preserve"> Technical Services Corporation </w:t>
      </w:r>
      <w:r w:rsidR="00B94EED" w:rsidRPr="00C36D71">
        <w:rPr>
          <w:rFonts w:ascii="Arial" w:hAnsi="Arial" w:cs="Arial"/>
          <w:sz w:val="20"/>
          <w:szCs w:val="20"/>
        </w:rPr>
        <w:t>announced</w:t>
      </w:r>
      <w:r w:rsidR="001836C3">
        <w:rPr>
          <w:rFonts w:ascii="Arial" w:hAnsi="Arial" w:cs="Arial"/>
          <w:sz w:val="20"/>
          <w:szCs w:val="20"/>
        </w:rPr>
        <w:t xml:space="preserve"> the </w:t>
      </w:r>
      <w:bookmarkStart w:id="0" w:name="_GoBack"/>
      <w:r w:rsidR="001836C3" w:rsidRPr="001836C3">
        <w:rPr>
          <w:rFonts w:ascii="Arial" w:hAnsi="Arial" w:cs="Arial"/>
          <w:sz w:val="20"/>
          <w:szCs w:val="20"/>
        </w:rPr>
        <w:t>Annual General Mandate</w:t>
      </w:r>
      <w:r w:rsidR="001836C3" w:rsidRPr="001836C3">
        <w:rPr>
          <w:rFonts w:ascii="Arial" w:hAnsi="Arial" w:cs="Arial"/>
          <w:sz w:val="20"/>
          <w:szCs w:val="20"/>
        </w:rPr>
        <w:t xml:space="preserve"> as follows:</w:t>
      </w:r>
      <w:bookmarkEnd w:id="0"/>
    </w:p>
    <w:p w:rsidR="00B94EED" w:rsidRDefault="00B94EED">
      <w:pPr>
        <w:rPr>
          <w:rFonts w:ascii="Arial" w:hAnsi="Arial" w:cs="Arial"/>
          <w:sz w:val="20"/>
          <w:szCs w:val="20"/>
        </w:rPr>
      </w:pPr>
    </w:p>
    <w:p w:rsidR="00B94EED" w:rsidRPr="00B94EED" w:rsidRDefault="00B94EED" w:rsidP="00B94EED">
      <w:pPr>
        <w:rPr>
          <w:rFonts w:ascii="Arial" w:hAnsi="Arial" w:cs="Arial"/>
          <w:sz w:val="20"/>
          <w:szCs w:val="20"/>
        </w:rPr>
      </w:pPr>
      <w:r w:rsidRPr="00DE34E5">
        <w:rPr>
          <w:rFonts w:ascii="Arial" w:hAnsi="Arial" w:cs="Arial"/>
          <w:b/>
          <w:sz w:val="20"/>
          <w:szCs w:val="20"/>
        </w:rPr>
        <w:t>Article 1.</w:t>
      </w:r>
      <w:r w:rsidRPr="00B94EED">
        <w:rPr>
          <w:rFonts w:ascii="Arial" w:hAnsi="Arial" w:cs="Arial"/>
          <w:sz w:val="20"/>
          <w:szCs w:val="20"/>
        </w:rPr>
        <w:t xml:space="preserve"> </w:t>
      </w:r>
      <w:r w:rsidR="00DE34E5">
        <w:rPr>
          <w:rFonts w:ascii="Arial" w:hAnsi="Arial" w:cs="Arial"/>
          <w:sz w:val="20"/>
          <w:szCs w:val="20"/>
        </w:rPr>
        <w:t>To approve</w:t>
      </w:r>
      <w:r w:rsidRPr="00B94EED">
        <w:rPr>
          <w:rFonts w:ascii="Arial" w:hAnsi="Arial" w:cs="Arial"/>
          <w:sz w:val="20"/>
          <w:szCs w:val="20"/>
        </w:rPr>
        <w:t xml:space="preserve"> the report on operation of 2016 and the plan </w:t>
      </w:r>
      <w:r w:rsidR="00DE34E5">
        <w:rPr>
          <w:rFonts w:ascii="Arial" w:hAnsi="Arial" w:cs="Arial"/>
          <w:sz w:val="20"/>
          <w:szCs w:val="20"/>
        </w:rPr>
        <w:t>in</w:t>
      </w:r>
      <w:r w:rsidRPr="00B94EED">
        <w:rPr>
          <w:rFonts w:ascii="Arial" w:hAnsi="Arial" w:cs="Arial"/>
          <w:sz w:val="20"/>
          <w:szCs w:val="20"/>
        </w:rPr>
        <w:t xml:space="preserve"> 2017 of the Board of Directors, </w:t>
      </w:r>
      <w:r w:rsidR="00DE34E5">
        <w:rPr>
          <w:rFonts w:ascii="Arial" w:hAnsi="Arial" w:cs="Arial"/>
          <w:sz w:val="20"/>
          <w:szCs w:val="20"/>
        </w:rPr>
        <w:t xml:space="preserve">the </w:t>
      </w:r>
      <w:r w:rsidRPr="00B94EED">
        <w:rPr>
          <w:rFonts w:ascii="Arial" w:hAnsi="Arial" w:cs="Arial"/>
          <w:sz w:val="20"/>
          <w:szCs w:val="20"/>
        </w:rPr>
        <w:t xml:space="preserve">report on </w:t>
      </w:r>
      <w:r w:rsidR="00DE34E5">
        <w:rPr>
          <w:rFonts w:ascii="Arial" w:hAnsi="Arial" w:cs="Arial"/>
          <w:sz w:val="20"/>
          <w:szCs w:val="20"/>
        </w:rPr>
        <w:t xml:space="preserve">production and </w:t>
      </w:r>
      <w:r w:rsidRPr="00B94EED">
        <w:rPr>
          <w:rFonts w:ascii="Arial" w:hAnsi="Arial" w:cs="Arial"/>
          <w:sz w:val="20"/>
          <w:szCs w:val="20"/>
        </w:rPr>
        <w:t xml:space="preserve">business </w:t>
      </w:r>
      <w:r w:rsidR="00DE34E5">
        <w:rPr>
          <w:rFonts w:ascii="Arial" w:hAnsi="Arial" w:cs="Arial"/>
          <w:sz w:val="20"/>
          <w:szCs w:val="20"/>
        </w:rPr>
        <w:t>performance</w:t>
      </w:r>
      <w:r w:rsidRPr="00B94EED">
        <w:rPr>
          <w:rFonts w:ascii="Arial" w:hAnsi="Arial" w:cs="Arial"/>
          <w:sz w:val="20"/>
          <w:szCs w:val="20"/>
        </w:rPr>
        <w:t xml:space="preserve"> in 2016 and the plan </w:t>
      </w:r>
      <w:r w:rsidR="00DE34E5">
        <w:rPr>
          <w:rFonts w:ascii="Arial" w:hAnsi="Arial" w:cs="Arial"/>
          <w:sz w:val="20"/>
          <w:szCs w:val="20"/>
        </w:rPr>
        <w:t>in</w:t>
      </w:r>
      <w:r w:rsidRPr="00B94EED">
        <w:rPr>
          <w:rFonts w:ascii="Arial" w:hAnsi="Arial" w:cs="Arial"/>
          <w:sz w:val="20"/>
          <w:szCs w:val="20"/>
        </w:rPr>
        <w:t xml:space="preserve"> 2017 of the General Director, </w:t>
      </w:r>
      <w:r w:rsidR="00DE34E5">
        <w:rPr>
          <w:rFonts w:ascii="Arial" w:hAnsi="Arial" w:cs="Arial"/>
          <w:sz w:val="20"/>
          <w:szCs w:val="20"/>
        </w:rPr>
        <w:t>the report on operation of</w:t>
      </w:r>
      <w:r w:rsidRPr="00B94EED">
        <w:rPr>
          <w:rFonts w:ascii="Arial" w:hAnsi="Arial" w:cs="Arial"/>
          <w:sz w:val="20"/>
          <w:szCs w:val="20"/>
        </w:rPr>
        <w:t xml:space="preserve"> the </w:t>
      </w:r>
      <w:r w:rsidR="00DE34E5" w:rsidRPr="00B94EED">
        <w:rPr>
          <w:rFonts w:ascii="Arial" w:hAnsi="Arial" w:cs="Arial"/>
          <w:sz w:val="20"/>
          <w:szCs w:val="20"/>
        </w:rPr>
        <w:t>Supervisor</w:t>
      </w:r>
      <w:r w:rsidR="00DE34E5">
        <w:rPr>
          <w:rFonts w:ascii="Arial" w:hAnsi="Arial" w:cs="Arial"/>
          <w:sz w:val="20"/>
          <w:szCs w:val="20"/>
        </w:rPr>
        <w:t xml:space="preserve">y </w:t>
      </w:r>
      <w:r w:rsidRPr="00B94EED">
        <w:rPr>
          <w:rFonts w:ascii="Arial" w:hAnsi="Arial" w:cs="Arial"/>
          <w:sz w:val="20"/>
          <w:szCs w:val="20"/>
        </w:rPr>
        <w:t xml:space="preserve">Board in 2016 and </w:t>
      </w:r>
      <w:r w:rsidR="00DE34E5">
        <w:rPr>
          <w:rFonts w:ascii="Arial" w:hAnsi="Arial" w:cs="Arial"/>
          <w:sz w:val="20"/>
          <w:szCs w:val="20"/>
        </w:rPr>
        <w:t xml:space="preserve">the </w:t>
      </w:r>
      <w:r w:rsidRPr="00B94EED">
        <w:rPr>
          <w:rFonts w:ascii="Arial" w:hAnsi="Arial" w:cs="Arial"/>
          <w:sz w:val="20"/>
          <w:szCs w:val="20"/>
        </w:rPr>
        <w:t xml:space="preserve">Plan </w:t>
      </w:r>
      <w:r w:rsidR="00DE34E5">
        <w:rPr>
          <w:rFonts w:ascii="Arial" w:hAnsi="Arial" w:cs="Arial"/>
          <w:sz w:val="20"/>
          <w:szCs w:val="20"/>
        </w:rPr>
        <w:t xml:space="preserve">in </w:t>
      </w:r>
      <w:r w:rsidRPr="00B94EED">
        <w:rPr>
          <w:rFonts w:ascii="Arial" w:hAnsi="Arial" w:cs="Arial"/>
          <w:sz w:val="20"/>
          <w:szCs w:val="20"/>
        </w:rPr>
        <w:t>2017 as attached documents.</w:t>
      </w:r>
    </w:p>
    <w:p w:rsidR="00B94EED" w:rsidRPr="00B94EED" w:rsidRDefault="00B94EED" w:rsidP="00B94EED">
      <w:pPr>
        <w:rPr>
          <w:rFonts w:ascii="Arial" w:hAnsi="Arial" w:cs="Arial"/>
          <w:sz w:val="20"/>
          <w:szCs w:val="20"/>
        </w:rPr>
      </w:pPr>
      <w:r w:rsidRPr="00DE34E5">
        <w:rPr>
          <w:rFonts w:ascii="Arial" w:hAnsi="Arial" w:cs="Arial"/>
          <w:b/>
          <w:sz w:val="20"/>
          <w:szCs w:val="20"/>
        </w:rPr>
        <w:t>Article 2</w:t>
      </w:r>
      <w:r w:rsidR="00DE34E5" w:rsidRPr="00DE34E5">
        <w:rPr>
          <w:rFonts w:ascii="Arial" w:hAnsi="Arial" w:cs="Arial"/>
          <w:b/>
          <w:sz w:val="20"/>
          <w:szCs w:val="20"/>
        </w:rPr>
        <w:t>.</w:t>
      </w:r>
      <w:r w:rsidRPr="00B94EED">
        <w:rPr>
          <w:rFonts w:ascii="Arial" w:hAnsi="Arial" w:cs="Arial"/>
          <w:sz w:val="20"/>
          <w:szCs w:val="20"/>
        </w:rPr>
        <w:t xml:space="preserve"> </w:t>
      </w:r>
      <w:r w:rsidR="00DE34E5">
        <w:rPr>
          <w:rFonts w:ascii="Arial" w:hAnsi="Arial" w:cs="Arial"/>
          <w:sz w:val="20"/>
          <w:szCs w:val="20"/>
        </w:rPr>
        <w:t>To approve</w:t>
      </w:r>
      <w:r w:rsidR="00DE34E5" w:rsidRPr="00B94EED">
        <w:rPr>
          <w:rFonts w:ascii="Arial" w:hAnsi="Arial" w:cs="Arial"/>
          <w:sz w:val="20"/>
          <w:szCs w:val="20"/>
        </w:rPr>
        <w:t xml:space="preserve"> </w:t>
      </w:r>
      <w:r w:rsidRPr="00B94EED">
        <w:rPr>
          <w:rFonts w:ascii="Arial" w:hAnsi="Arial" w:cs="Arial"/>
          <w:sz w:val="20"/>
          <w:szCs w:val="20"/>
        </w:rPr>
        <w:t xml:space="preserve">the Business Plan </w:t>
      </w:r>
      <w:r w:rsidR="00DE34E5">
        <w:rPr>
          <w:rFonts w:ascii="Arial" w:hAnsi="Arial" w:cs="Arial"/>
          <w:sz w:val="20"/>
          <w:szCs w:val="20"/>
        </w:rPr>
        <w:t xml:space="preserve">in </w:t>
      </w:r>
      <w:r w:rsidRPr="00B94EED">
        <w:rPr>
          <w:rFonts w:ascii="Arial" w:hAnsi="Arial" w:cs="Arial"/>
          <w:sz w:val="20"/>
          <w:szCs w:val="20"/>
        </w:rPr>
        <w:t>2017 with the following targets:</w:t>
      </w:r>
    </w:p>
    <w:p w:rsidR="00B94EED" w:rsidRPr="00B94EED" w:rsidRDefault="00B94EED" w:rsidP="00B94EED">
      <w:pPr>
        <w:rPr>
          <w:rFonts w:ascii="Arial" w:hAnsi="Arial" w:cs="Arial"/>
          <w:sz w:val="20"/>
          <w:szCs w:val="20"/>
        </w:rPr>
      </w:pPr>
      <w:r w:rsidRPr="00B94EED">
        <w:rPr>
          <w:rFonts w:ascii="Arial" w:hAnsi="Arial" w:cs="Arial"/>
          <w:sz w:val="20"/>
          <w:szCs w:val="20"/>
        </w:rPr>
        <w:t xml:space="preserve">+ Revenue: </w:t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 w:rsidRPr="00B94EED">
        <w:rPr>
          <w:rFonts w:ascii="Arial" w:hAnsi="Arial" w:cs="Arial"/>
          <w:sz w:val="20"/>
          <w:szCs w:val="20"/>
        </w:rPr>
        <w:t>VND</w:t>
      </w:r>
      <w:r w:rsidR="00DE34E5">
        <w:rPr>
          <w:rFonts w:ascii="Arial" w:hAnsi="Arial" w:cs="Arial"/>
          <w:sz w:val="20"/>
          <w:szCs w:val="20"/>
        </w:rPr>
        <w:t xml:space="preserve"> </w:t>
      </w:r>
      <w:r w:rsidRPr="00B94EED">
        <w:rPr>
          <w:rFonts w:ascii="Arial" w:hAnsi="Arial" w:cs="Arial"/>
          <w:sz w:val="20"/>
          <w:szCs w:val="20"/>
        </w:rPr>
        <w:t xml:space="preserve">13,000 billion </w:t>
      </w:r>
    </w:p>
    <w:p w:rsidR="00B94EED" w:rsidRPr="00B94EED" w:rsidRDefault="00B94EED" w:rsidP="00B94EED">
      <w:pPr>
        <w:rPr>
          <w:rFonts w:ascii="Arial" w:hAnsi="Arial" w:cs="Arial"/>
          <w:sz w:val="20"/>
          <w:szCs w:val="20"/>
        </w:rPr>
      </w:pPr>
      <w:r w:rsidRPr="00B94EED">
        <w:rPr>
          <w:rFonts w:ascii="Arial" w:hAnsi="Arial" w:cs="Arial"/>
          <w:sz w:val="20"/>
          <w:szCs w:val="20"/>
        </w:rPr>
        <w:t xml:space="preserve">+ Total </w:t>
      </w:r>
      <w:r w:rsidR="00DE34E5">
        <w:rPr>
          <w:rFonts w:ascii="Arial" w:hAnsi="Arial" w:cs="Arial"/>
          <w:sz w:val="20"/>
          <w:szCs w:val="20"/>
        </w:rPr>
        <w:t xml:space="preserve">consolidated </w:t>
      </w:r>
      <w:r w:rsidRPr="00B94EED">
        <w:rPr>
          <w:rFonts w:ascii="Arial" w:hAnsi="Arial" w:cs="Arial"/>
          <w:sz w:val="20"/>
          <w:szCs w:val="20"/>
        </w:rPr>
        <w:t>profit</w:t>
      </w:r>
      <w:r w:rsidR="00DE34E5">
        <w:rPr>
          <w:rFonts w:ascii="Arial" w:hAnsi="Arial" w:cs="Arial"/>
          <w:sz w:val="20"/>
          <w:szCs w:val="20"/>
        </w:rPr>
        <w:t xml:space="preserve"> before </w:t>
      </w:r>
      <w:r w:rsidR="00DE34E5" w:rsidRPr="00B94EED">
        <w:rPr>
          <w:rFonts w:ascii="Arial" w:hAnsi="Arial" w:cs="Arial"/>
          <w:sz w:val="20"/>
          <w:szCs w:val="20"/>
        </w:rPr>
        <w:t>tax</w:t>
      </w:r>
      <w:r w:rsidRPr="00B94EED">
        <w:rPr>
          <w:rFonts w:ascii="Arial" w:hAnsi="Arial" w:cs="Arial"/>
          <w:sz w:val="20"/>
          <w:szCs w:val="20"/>
        </w:rPr>
        <w:t xml:space="preserve">: </w:t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 w:rsidRPr="00B94EED">
        <w:rPr>
          <w:rFonts w:ascii="Arial" w:hAnsi="Arial" w:cs="Arial"/>
          <w:sz w:val="20"/>
          <w:szCs w:val="20"/>
        </w:rPr>
        <w:t>VND</w:t>
      </w:r>
      <w:r w:rsidR="00DE34E5">
        <w:rPr>
          <w:rFonts w:ascii="Arial" w:hAnsi="Arial" w:cs="Arial"/>
          <w:sz w:val="20"/>
          <w:szCs w:val="20"/>
        </w:rPr>
        <w:t xml:space="preserve"> </w:t>
      </w:r>
      <w:r w:rsidRPr="00B94EED">
        <w:rPr>
          <w:rFonts w:ascii="Arial" w:hAnsi="Arial" w:cs="Arial"/>
          <w:sz w:val="20"/>
          <w:szCs w:val="20"/>
        </w:rPr>
        <w:t xml:space="preserve">700 billion </w:t>
      </w:r>
    </w:p>
    <w:p w:rsidR="00B94EED" w:rsidRPr="00B94EED" w:rsidRDefault="00B94EED" w:rsidP="00B94EED">
      <w:pPr>
        <w:rPr>
          <w:rFonts w:ascii="Arial" w:hAnsi="Arial" w:cs="Arial"/>
          <w:sz w:val="20"/>
          <w:szCs w:val="20"/>
        </w:rPr>
      </w:pPr>
      <w:r w:rsidRPr="00B94EED">
        <w:rPr>
          <w:rFonts w:ascii="Arial" w:hAnsi="Arial" w:cs="Arial"/>
          <w:sz w:val="20"/>
          <w:szCs w:val="20"/>
        </w:rPr>
        <w:t>+ Total profit</w:t>
      </w:r>
      <w:r w:rsidR="00DE34E5">
        <w:rPr>
          <w:rFonts w:ascii="Arial" w:hAnsi="Arial" w:cs="Arial"/>
          <w:sz w:val="20"/>
          <w:szCs w:val="20"/>
        </w:rPr>
        <w:t xml:space="preserve"> after tax</w:t>
      </w:r>
      <w:r w:rsidRPr="00B94EED">
        <w:rPr>
          <w:rFonts w:ascii="Arial" w:hAnsi="Arial" w:cs="Arial"/>
          <w:sz w:val="20"/>
          <w:szCs w:val="20"/>
        </w:rPr>
        <w:t xml:space="preserve">: </w:t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 w:rsidRPr="00B94EED">
        <w:rPr>
          <w:rFonts w:ascii="Arial" w:hAnsi="Arial" w:cs="Arial"/>
          <w:sz w:val="20"/>
          <w:szCs w:val="20"/>
        </w:rPr>
        <w:t>VND</w:t>
      </w:r>
      <w:r w:rsidR="00DE34E5">
        <w:rPr>
          <w:rFonts w:ascii="Arial" w:hAnsi="Arial" w:cs="Arial"/>
          <w:sz w:val="20"/>
          <w:szCs w:val="20"/>
        </w:rPr>
        <w:t xml:space="preserve"> </w:t>
      </w:r>
      <w:r w:rsidRPr="00B94EED">
        <w:rPr>
          <w:rFonts w:ascii="Arial" w:hAnsi="Arial" w:cs="Arial"/>
          <w:sz w:val="20"/>
          <w:szCs w:val="20"/>
        </w:rPr>
        <w:t xml:space="preserve">560 billion </w:t>
      </w:r>
    </w:p>
    <w:p w:rsidR="00B94EED" w:rsidRPr="00B94EED" w:rsidRDefault="00B94EED" w:rsidP="00B94EED">
      <w:pPr>
        <w:rPr>
          <w:rFonts w:ascii="Arial" w:hAnsi="Arial" w:cs="Arial"/>
          <w:sz w:val="20"/>
          <w:szCs w:val="20"/>
        </w:rPr>
      </w:pPr>
      <w:r w:rsidRPr="00B94EED">
        <w:rPr>
          <w:rFonts w:ascii="Arial" w:hAnsi="Arial" w:cs="Arial"/>
          <w:sz w:val="20"/>
          <w:szCs w:val="20"/>
        </w:rPr>
        <w:t xml:space="preserve">+ Dividend payout ratio: </w:t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Pr="00B94EED">
        <w:rPr>
          <w:rFonts w:ascii="Arial" w:hAnsi="Arial" w:cs="Arial"/>
          <w:sz w:val="20"/>
          <w:szCs w:val="20"/>
        </w:rPr>
        <w:t>7%/charter capital</w:t>
      </w:r>
    </w:p>
    <w:p w:rsidR="00B94EED" w:rsidRPr="00B94EED" w:rsidRDefault="00B94EED" w:rsidP="00B94EED">
      <w:pPr>
        <w:rPr>
          <w:rFonts w:ascii="Arial" w:hAnsi="Arial" w:cs="Arial"/>
          <w:sz w:val="20"/>
          <w:szCs w:val="20"/>
        </w:rPr>
      </w:pPr>
      <w:r w:rsidRPr="00B94EED">
        <w:rPr>
          <w:rFonts w:ascii="Arial" w:hAnsi="Arial" w:cs="Arial"/>
          <w:sz w:val="20"/>
          <w:szCs w:val="20"/>
        </w:rPr>
        <w:t xml:space="preserve">+ Investment plan: </w:t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>
        <w:rPr>
          <w:rFonts w:ascii="Arial" w:hAnsi="Arial" w:cs="Arial"/>
          <w:sz w:val="20"/>
          <w:szCs w:val="20"/>
        </w:rPr>
        <w:tab/>
      </w:r>
      <w:r w:rsidR="00DE34E5" w:rsidRPr="00B94EED">
        <w:rPr>
          <w:rFonts w:ascii="Arial" w:hAnsi="Arial" w:cs="Arial"/>
          <w:sz w:val="20"/>
          <w:szCs w:val="20"/>
        </w:rPr>
        <w:t>VND</w:t>
      </w:r>
      <w:r w:rsidR="00DE34E5">
        <w:rPr>
          <w:rFonts w:ascii="Arial" w:hAnsi="Arial" w:cs="Arial"/>
          <w:sz w:val="20"/>
          <w:szCs w:val="20"/>
        </w:rPr>
        <w:t xml:space="preserve"> </w:t>
      </w:r>
      <w:r w:rsidRPr="00B94EED">
        <w:rPr>
          <w:rFonts w:ascii="Arial" w:hAnsi="Arial" w:cs="Arial"/>
          <w:sz w:val="20"/>
          <w:szCs w:val="20"/>
        </w:rPr>
        <w:t>1</w:t>
      </w:r>
      <w:r w:rsidR="00DE34E5">
        <w:rPr>
          <w:rFonts w:ascii="Arial" w:hAnsi="Arial" w:cs="Arial"/>
          <w:sz w:val="20"/>
          <w:szCs w:val="20"/>
        </w:rPr>
        <w:t>,</w:t>
      </w:r>
      <w:r w:rsidRPr="00B94EED">
        <w:rPr>
          <w:rFonts w:ascii="Arial" w:hAnsi="Arial" w:cs="Arial"/>
          <w:sz w:val="20"/>
          <w:szCs w:val="20"/>
        </w:rPr>
        <w:t xml:space="preserve">126 billion </w:t>
      </w:r>
    </w:p>
    <w:p w:rsidR="00B94EED" w:rsidRPr="00B94EED" w:rsidRDefault="00B94EED" w:rsidP="00B94EED">
      <w:pPr>
        <w:rPr>
          <w:rFonts w:ascii="Arial" w:hAnsi="Arial" w:cs="Arial"/>
          <w:sz w:val="20"/>
          <w:szCs w:val="20"/>
        </w:rPr>
      </w:pPr>
      <w:r w:rsidRPr="002372F5">
        <w:rPr>
          <w:rFonts w:ascii="Arial" w:hAnsi="Arial" w:cs="Arial"/>
          <w:b/>
          <w:sz w:val="20"/>
          <w:szCs w:val="20"/>
        </w:rPr>
        <w:t>Article 3.</w:t>
      </w:r>
      <w:r w:rsidRPr="00B94EED">
        <w:rPr>
          <w:rFonts w:ascii="Arial" w:hAnsi="Arial" w:cs="Arial"/>
          <w:sz w:val="20"/>
          <w:szCs w:val="20"/>
        </w:rPr>
        <w:t xml:space="preserve"> </w:t>
      </w:r>
      <w:r w:rsidR="002372F5">
        <w:rPr>
          <w:rFonts w:ascii="Arial" w:hAnsi="Arial" w:cs="Arial"/>
          <w:sz w:val="20"/>
          <w:szCs w:val="20"/>
        </w:rPr>
        <w:t>To approve</w:t>
      </w:r>
      <w:r w:rsidR="002372F5" w:rsidRPr="00B94EED">
        <w:rPr>
          <w:rFonts w:ascii="Arial" w:hAnsi="Arial" w:cs="Arial"/>
          <w:sz w:val="20"/>
          <w:szCs w:val="20"/>
        </w:rPr>
        <w:t xml:space="preserve"> the </w:t>
      </w:r>
      <w:r w:rsidRPr="00B94EED">
        <w:rPr>
          <w:rFonts w:ascii="Arial" w:hAnsi="Arial" w:cs="Arial"/>
          <w:sz w:val="20"/>
          <w:szCs w:val="20"/>
        </w:rPr>
        <w:t xml:space="preserve">2016 Financial Statements audited by Deloitte Vietnam </w:t>
      </w:r>
      <w:r w:rsidR="002372F5">
        <w:rPr>
          <w:rFonts w:ascii="Arial" w:hAnsi="Arial" w:cs="Arial"/>
          <w:sz w:val="20"/>
          <w:szCs w:val="20"/>
        </w:rPr>
        <w:t xml:space="preserve">Company </w:t>
      </w:r>
      <w:r w:rsidRPr="00B94EED">
        <w:rPr>
          <w:rFonts w:ascii="Arial" w:hAnsi="Arial" w:cs="Arial"/>
          <w:sz w:val="20"/>
          <w:szCs w:val="20"/>
        </w:rPr>
        <w:t>Limited.</w:t>
      </w:r>
    </w:p>
    <w:p w:rsidR="00B94EED" w:rsidRDefault="00B94EED" w:rsidP="00B94EED">
      <w:pPr>
        <w:rPr>
          <w:rFonts w:ascii="Arial" w:hAnsi="Arial" w:cs="Arial"/>
          <w:sz w:val="20"/>
          <w:szCs w:val="20"/>
        </w:rPr>
      </w:pPr>
      <w:r w:rsidRPr="00320AE8">
        <w:rPr>
          <w:rFonts w:ascii="Arial" w:hAnsi="Arial" w:cs="Arial"/>
          <w:b/>
          <w:sz w:val="20"/>
          <w:szCs w:val="20"/>
        </w:rPr>
        <w:t>Article 4.</w:t>
      </w:r>
      <w:r w:rsidRPr="00B94EED">
        <w:rPr>
          <w:rFonts w:ascii="Arial" w:hAnsi="Arial" w:cs="Arial"/>
          <w:sz w:val="20"/>
          <w:szCs w:val="20"/>
        </w:rPr>
        <w:t xml:space="preserve"> </w:t>
      </w:r>
      <w:r w:rsidR="002372F5">
        <w:rPr>
          <w:rFonts w:ascii="Arial" w:hAnsi="Arial" w:cs="Arial"/>
          <w:sz w:val="20"/>
          <w:szCs w:val="20"/>
        </w:rPr>
        <w:t>To approve</w:t>
      </w:r>
      <w:r w:rsidR="002372F5" w:rsidRPr="00B94EED">
        <w:rPr>
          <w:rFonts w:ascii="Arial" w:hAnsi="Arial" w:cs="Arial"/>
          <w:sz w:val="20"/>
          <w:szCs w:val="20"/>
        </w:rPr>
        <w:t xml:space="preserve"> the </w:t>
      </w:r>
      <w:r w:rsidRPr="00B94EED">
        <w:rPr>
          <w:rFonts w:ascii="Arial" w:hAnsi="Arial" w:cs="Arial"/>
          <w:sz w:val="20"/>
          <w:szCs w:val="20"/>
        </w:rPr>
        <w:t xml:space="preserve">profit distribution plan </w:t>
      </w:r>
      <w:r w:rsidR="00320AE8">
        <w:rPr>
          <w:rFonts w:ascii="Arial" w:hAnsi="Arial" w:cs="Arial"/>
          <w:sz w:val="20"/>
          <w:szCs w:val="20"/>
        </w:rPr>
        <w:t xml:space="preserve">in </w:t>
      </w:r>
      <w:r w:rsidRPr="00B94EED">
        <w:rPr>
          <w:rFonts w:ascii="Arial" w:hAnsi="Arial" w:cs="Arial"/>
          <w:sz w:val="20"/>
          <w:szCs w:val="20"/>
        </w:rPr>
        <w:t xml:space="preserve">2016 and </w:t>
      </w:r>
      <w:r w:rsidR="00320AE8">
        <w:rPr>
          <w:rFonts w:ascii="Arial" w:hAnsi="Arial" w:cs="Arial"/>
          <w:sz w:val="20"/>
          <w:szCs w:val="20"/>
        </w:rPr>
        <w:t xml:space="preserve">the </w:t>
      </w:r>
      <w:r w:rsidRPr="00B94EED">
        <w:rPr>
          <w:rFonts w:ascii="Arial" w:hAnsi="Arial" w:cs="Arial"/>
          <w:sz w:val="20"/>
          <w:szCs w:val="20"/>
        </w:rPr>
        <w:t xml:space="preserve">financial plan </w:t>
      </w:r>
      <w:r w:rsidR="00320AE8">
        <w:rPr>
          <w:rFonts w:ascii="Arial" w:hAnsi="Arial" w:cs="Arial"/>
          <w:sz w:val="20"/>
          <w:szCs w:val="20"/>
        </w:rPr>
        <w:t xml:space="preserve">in </w:t>
      </w:r>
      <w:r w:rsidRPr="00B94EED">
        <w:rPr>
          <w:rFonts w:ascii="Arial" w:hAnsi="Arial" w:cs="Arial"/>
          <w:sz w:val="20"/>
          <w:szCs w:val="20"/>
        </w:rPr>
        <w:t>2017 as proposed by the B</w:t>
      </w:r>
      <w:r w:rsidR="00320AE8">
        <w:rPr>
          <w:rFonts w:ascii="Arial" w:hAnsi="Arial" w:cs="Arial"/>
          <w:sz w:val="20"/>
          <w:szCs w:val="20"/>
        </w:rPr>
        <w:t>oard of Directors, specifically</w:t>
      </w:r>
      <w:r w:rsidRPr="00B94EED">
        <w:rPr>
          <w:rFonts w:ascii="Arial" w:hAnsi="Arial" w:cs="Arial"/>
          <w:sz w:val="20"/>
          <w:szCs w:val="20"/>
        </w:rPr>
        <w:t>:</w:t>
      </w:r>
    </w:p>
    <w:p w:rsidR="00B94EED" w:rsidRDefault="00B94EED" w:rsidP="00B94EED">
      <w:pPr>
        <w:rPr>
          <w:rFonts w:ascii="Arial" w:hAnsi="Arial" w:cs="Arial"/>
          <w:sz w:val="20"/>
          <w:szCs w:val="20"/>
        </w:rPr>
      </w:pPr>
      <w:r w:rsidRPr="00B94EED">
        <w:rPr>
          <w:rFonts w:ascii="Arial" w:hAnsi="Arial" w:cs="Arial"/>
          <w:sz w:val="20"/>
          <w:szCs w:val="20"/>
        </w:rPr>
        <w:t xml:space="preserve">1. Profit distribution plan </w:t>
      </w:r>
      <w:r w:rsidR="00320AE8">
        <w:rPr>
          <w:rFonts w:ascii="Arial" w:hAnsi="Arial" w:cs="Arial"/>
          <w:sz w:val="20"/>
          <w:szCs w:val="20"/>
        </w:rPr>
        <w:t>in</w:t>
      </w:r>
      <w:r w:rsidRPr="00B94EED">
        <w:rPr>
          <w:rFonts w:ascii="Arial" w:hAnsi="Arial" w:cs="Arial"/>
          <w:sz w:val="20"/>
          <w:szCs w:val="20"/>
        </w:rPr>
        <w:t xml:space="preserve"> 2016: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2097"/>
      </w:tblGrid>
      <w:tr w:rsidR="00B94EED" w:rsidRPr="00B94EED" w:rsidTr="007B52EF">
        <w:tc>
          <w:tcPr>
            <w:tcW w:w="817" w:type="dxa"/>
          </w:tcPr>
          <w:p w:rsidR="00B94EED" w:rsidRPr="00B94EED" w:rsidRDefault="00B94EED" w:rsidP="00B94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E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961" w:type="dxa"/>
          </w:tcPr>
          <w:p w:rsidR="00B94EED" w:rsidRPr="00B94EED" w:rsidRDefault="00B94EED" w:rsidP="00B94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ED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701" w:type="dxa"/>
          </w:tcPr>
          <w:p w:rsidR="00B94EED" w:rsidRPr="00B94EED" w:rsidRDefault="007B52EF" w:rsidP="007B52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7B52EF">
              <w:rPr>
                <w:rFonts w:ascii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sz w:val="20"/>
                <w:szCs w:val="20"/>
              </w:rPr>
              <w:t>centage</w:t>
            </w:r>
          </w:p>
        </w:tc>
        <w:tc>
          <w:tcPr>
            <w:tcW w:w="2097" w:type="dxa"/>
          </w:tcPr>
          <w:p w:rsidR="00B94EED" w:rsidRPr="00B94EED" w:rsidRDefault="007B52EF" w:rsidP="00B94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2EF">
              <w:rPr>
                <w:rFonts w:ascii="Arial" w:hAnsi="Arial" w:cs="Arial"/>
                <w:b/>
                <w:sz w:val="20"/>
                <w:szCs w:val="20"/>
              </w:rPr>
              <w:t>Amount (VND)</w:t>
            </w:r>
          </w:p>
        </w:tc>
      </w:tr>
      <w:tr w:rsidR="00B94EED" w:rsidTr="007B52EF">
        <w:tc>
          <w:tcPr>
            <w:tcW w:w="817" w:type="dxa"/>
          </w:tcPr>
          <w:p w:rsidR="00B94EED" w:rsidRDefault="00B94EED" w:rsidP="00B94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B94EED" w:rsidRDefault="00B94EED" w:rsidP="00B94EED">
            <w:pPr>
              <w:rPr>
                <w:rFonts w:ascii="Arial" w:hAnsi="Arial" w:cs="Arial"/>
                <w:sz w:val="20"/>
                <w:szCs w:val="20"/>
              </w:rPr>
            </w:pPr>
            <w:r w:rsidRPr="00B94EED">
              <w:rPr>
                <w:rFonts w:ascii="Arial" w:hAnsi="Arial" w:cs="Arial"/>
                <w:sz w:val="20"/>
                <w:szCs w:val="20"/>
              </w:rPr>
              <w:t>Profit after tax in 2016</w:t>
            </w:r>
          </w:p>
        </w:tc>
        <w:tc>
          <w:tcPr>
            <w:tcW w:w="1701" w:type="dxa"/>
          </w:tcPr>
          <w:p w:rsidR="00B94EED" w:rsidRDefault="00B94EED" w:rsidP="007B5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:rsidR="00B94EED" w:rsidRDefault="007B52EF" w:rsidP="007B5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618,661</w:t>
            </w:r>
          </w:p>
        </w:tc>
      </w:tr>
      <w:tr w:rsidR="00B94EED" w:rsidTr="007B52EF">
        <w:tc>
          <w:tcPr>
            <w:tcW w:w="817" w:type="dxa"/>
          </w:tcPr>
          <w:p w:rsidR="00B94EED" w:rsidRDefault="00B94EED" w:rsidP="00B94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B94EED" w:rsidRPr="00B94EED" w:rsidRDefault="00B94EED" w:rsidP="00320AE8">
            <w:pPr>
              <w:rPr>
                <w:rFonts w:ascii="Arial" w:hAnsi="Arial" w:cs="Arial"/>
                <w:sz w:val="20"/>
                <w:szCs w:val="20"/>
              </w:rPr>
            </w:pPr>
            <w:r w:rsidRPr="00B94EED">
              <w:rPr>
                <w:rFonts w:ascii="Arial" w:hAnsi="Arial" w:cs="Arial"/>
                <w:sz w:val="20"/>
                <w:szCs w:val="20"/>
              </w:rPr>
              <w:t xml:space="preserve">Remaining </w:t>
            </w:r>
            <w:r w:rsidR="00320AE8">
              <w:rPr>
                <w:rFonts w:ascii="Arial" w:hAnsi="Arial" w:cs="Arial"/>
                <w:sz w:val="20"/>
                <w:szCs w:val="20"/>
              </w:rPr>
              <w:t>un</w:t>
            </w:r>
            <w:r w:rsidR="00320AE8" w:rsidRPr="00B94EED">
              <w:rPr>
                <w:rFonts w:ascii="Arial" w:hAnsi="Arial" w:cs="Arial"/>
                <w:sz w:val="20"/>
                <w:szCs w:val="20"/>
              </w:rPr>
              <w:t>distributed</w:t>
            </w:r>
            <w:r w:rsidR="00320A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EED">
              <w:rPr>
                <w:rFonts w:ascii="Arial" w:hAnsi="Arial" w:cs="Arial"/>
                <w:sz w:val="20"/>
                <w:szCs w:val="20"/>
              </w:rPr>
              <w:t xml:space="preserve">profit in 2015 </w:t>
            </w:r>
          </w:p>
        </w:tc>
        <w:tc>
          <w:tcPr>
            <w:tcW w:w="1701" w:type="dxa"/>
          </w:tcPr>
          <w:p w:rsidR="00B94EED" w:rsidRDefault="00B94EED" w:rsidP="007B5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:rsidR="00B94EED" w:rsidRDefault="007B52EF" w:rsidP="007B5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317,306</w:t>
            </w:r>
          </w:p>
        </w:tc>
      </w:tr>
      <w:tr w:rsidR="00B94EED" w:rsidTr="007B52EF">
        <w:tc>
          <w:tcPr>
            <w:tcW w:w="817" w:type="dxa"/>
          </w:tcPr>
          <w:p w:rsidR="00B94EED" w:rsidRDefault="00B94EED" w:rsidP="00B94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B94EED" w:rsidRPr="00B94EED" w:rsidRDefault="00320AE8" w:rsidP="00320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94EED">
              <w:rPr>
                <w:rFonts w:ascii="Arial" w:hAnsi="Arial" w:cs="Arial"/>
                <w:sz w:val="20"/>
                <w:szCs w:val="20"/>
              </w:rPr>
              <w:t>istribut</w:t>
            </w:r>
            <w:r>
              <w:rPr>
                <w:rFonts w:ascii="Arial" w:hAnsi="Arial" w:cs="Arial"/>
                <w:sz w:val="20"/>
                <w:szCs w:val="20"/>
              </w:rPr>
              <w:t>able p</w:t>
            </w:r>
            <w:r w:rsidR="00B94EED" w:rsidRPr="00B94EED">
              <w:rPr>
                <w:rFonts w:ascii="Arial" w:hAnsi="Arial" w:cs="Arial"/>
                <w:sz w:val="20"/>
                <w:szCs w:val="20"/>
              </w:rPr>
              <w:t>rofit  (1 + 2)</w:t>
            </w:r>
          </w:p>
        </w:tc>
        <w:tc>
          <w:tcPr>
            <w:tcW w:w="1701" w:type="dxa"/>
          </w:tcPr>
          <w:p w:rsidR="00B94EED" w:rsidRDefault="00B94EED" w:rsidP="007B5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:rsidR="00B94EED" w:rsidRDefault="007B52EF" w:rsidP="007B5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935,967</w:t>
            </w:r>
          </w:p>
        </w:tc>
      </w:tr>
      <w:tr w:rsidR="00B94EED" w:rsidTr="007B52EF">
        <w:tc>
          <w:tcPr>
            <w:tcW w:w="817" w:type="dxa"/>
          </w:tcPr>
          <w:p w:rsidR="00B94EED" w:rsidRDefault="00B94EED" w:rsidP="00B94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961" w:type="dxa"/>
          </w:tcPr>
          <w:p w:rsidR="00B94EED" w:rsidRPr="00B94EED" w:rsidRDefault="00B94EED" w:rsidP="00B94EED">
            <w:pPr>
              <w:rPr>
                <w:rFonts w:ascii="Arial" w:hAnsi="Arial" w:cs="Arial"/>
                <w:sz w:val="20"/>
                <w:szCs w:val="20"/>
              </w:rPr>
            </w:pPr>
            <w:r w:rsidRPr="00B94EED">
              <w:rPr>
                <w:rFonts w:ascii="Arial" w:hAnsi="Arial" w:cs="Arial"/>
                <w:sz w:val="20"/>
                <w:szCs w:val="20"/>
              </w:rPr>
              <w:t>Dividend</w:t>
            </w:r>
          </w:p>
        </w:tc>
        <w:tc>
          <w:tcPr>
            <w:tcW w:w="1701" w:type="dxa"/>
          </w:tcPr>
          <w:p w:rsidR="00B94EED" w:rsidRDefault="007B52EF" w:rsidP="007B5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17.00%</w:t>
            </w:r>
          </w:p>
        </w:tc>
        <w:tc>
          <w:tcPr>
            <w:tcW w:w="2097" w:type="dxa"/>
          </w:tcPr>
          <w:p w:rsidR="00B94EED" w:rsidRDefault="007B52EF" w:rsidP="007B5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759,391</w:t>
            </w:r>
          </w:p>
        </w:tc>
      </w:tr>
      <w:tr w:rsidR="00B94EED" w:rsidTr="007B52EF">
        <w:tc>
          <w:tcPr>
            <w:tcW w:w="817" w:type="dxa"/>
          </w:tcPr>
          <w:p w:rsidR="00B94EED" w:rsidRDefault="00B94EED" w:rsidP="00B94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961" w:type="dxa"/>
          </w:tcPr>
          <w:p w:rsidR="00B94EED" w:rsidRPr="00B94EED" w:rsidRDefault="00320AE8" w:rsidP="00320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4EED">
              <w:rPr>
                <w:rFonts w:ascii="Arial" w:hAnsi="Arial" w:cs="Arial"/>
                <w:sz w:val="20"/>
                <w:szCs w:val="20"/>
              </w:rPr>
              <w:t>ash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B94EED" w:rsidRPr="00B94EED">
              <w:rPr>
                <w:rFonts w:ascii="Arial" w:hAnsi="Arial" w:cs="Arial"/>
                <w:sz w:val="20"/>
                <w:szCs w:val="20"/>
              </w:rPr>
              <w:t>ividend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E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94EED" w:rsidRDefault="007B52EF" w:rsidP="007B5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097" w:type="dxa"/>
          </w:tcPr>
          <w:p w:rsidR="00B94EED" w:rsidRDefault="007B52EF" w:rsidP="007B5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446,700</w:t>
            </w:r>
          </w:p>
        </w:tc>
      </w:tr>
      <w:tr w:rsidR="00B94EED" w:rsidTr="007B52EF">
        <w:tc>
          <w:tcPr>
            <w:tcW w:w="817" w:type="dxa"/>
          </w:tcPr>
          <w:p w:rsidR="00B94EED" w:rsidRDefault="00B94EED" w:rsidP="00B94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B94EED" w:rsidRPr="00320AE8" w:rsidRDefault="00320AE8" w:rsidP="00320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20AE8">
              <w:rPr>
                <w:rFonts w:ascii="Arial" w:hAnsi="Arial" w:cs="Arial"/>
                <w:i/>
                <w:sz w:val="20"/>
                <w:szCs w:val="20"/>
              </w:rPr>
              <w:t>Advance</w:t>
            </w:r>
            <w:r>
              <w:rPr>
                <w:rFonts w:ascii="Arial" w:hAnsi="Arial" w:cs="Arial"/>
                <w:i/>
                <w:sz w:val="20"/>
                <w:szCs w:val="20"/>
              </w:rPr>
              <w:t>d d</w:t>
            </w:r>
            <w:r w:rsidR="00B94EED" w:rsidRPr="00320AE8">
              <w:rPr>
                <w:rFonts w:ascii="Arial" w:hAnsi="Arial" w:cs="Arial"/>
                <w:i/>
                <w:sz w:val="20"/>
                <w:szCs w:val="20"/>
              </w:rPr>
              <w:t>ividend  (*)</w:t>
            </w:r>
          </w:p>
        </w:tc>
        <w:tc>
          <w:tcPr>
            <w:tcW w:w="1701" w:type="dxa"/>
          </w:tcPr>
          <w:p w:rsidR="00B94EED" w:rsidRPr="00320AE8" w:rsidRDefault="007B52EF" w:rsidP="007B52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0AE8">
              <w:rPr>
                <w:rFonts w:ascii="Arial" w:hAnsi="Arial" w:cs="Arial"/>
                <w:i/>
                <w:sz w:val="20"/>
                <w:szCs w:val="20"/>
              </w:rPr>
              <w:t>5.00%</w:t>
            </w:r>
          </w:p>
        </w:tc>
        <w:tc>
          <w:tcPr>
            <w:tcW w:w="2097" w:type="dxa"/>
          </w:tcPr>
          <w:p w:rsidR="00B94EED" w:rsidRDefault="007B52EF" w:rsidP="007B5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223,350</w:t>
            </w:r>
          </w:p>
        </w:tc>
      </w:tr>
      <w:tr w:rsidR="00B94EED" w:rsidTr="007B52EF">
        <w:tc>
          <w:tcPr>
            <w:tcW w:w="817" w:type="dxa"/>
          </w:tcPr>
          <w:p w:rsidR="00B94EED" w:rsidRDefault="00B94EED" w:rsidP="00B94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B94EED" w:rsidRPr="00320AE8" w:rsidRDefault="00320AE8" w:rsidP="00320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20AE8">
              <w:rPr>
                <w:rFonts w:ascii="Arial" w:hAnsi="Arial" w:cs="Arial"/>
                <w:i/>
                <w:sz w:val="20"/>
                <w:szCs w:val="20"/>
              </w:rPr>
              <w:t>Remaining d</w:t>
            </w:r>
            <w:r w:rsidR="00B94EED" w:rsidRPr="00320AE8">
              <w:rPr>
                <w:rFonts w:ascii="Arial" w:hAnsi="Arial" w:cs="Arial"/>
                <w:i/>
                <w:sz w:val="20"/>
                <w:szCs w:val="20"/>
              </w:rPr>
              <w:t xml:space="preserve">ividend </w:t>
            </w:r>
          </w:p>
        </w:tc>
        <w:tc>
          <w:tcPr>
            <w:tcW w:w="1701" w:type="dxa"/>
          </w:tcPr>
          <w:p w:rsidR="00B94EED" w:rsidRPr="00320AE8" w:rsidRDefault="007B52EF" w:rsidP="007B52E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0AE8">
              <w:rPr>
                <w:rFonts w:ascii="Arial" w:hAnsi="Arial" w:cs="Arial"/>
                <w:i/>
                <w:sz w:val="20"/>
                <w:szCs w:val="20"/>
              </w:rPr>
              <w:t>5.00%</w:t>
            </w:r>
          </w:p>
        </w:tc>
        <w:tc>
          <w:tcPr>
            <w:tcW w:w="2097" w:type="dxa"/>
          </w:tcPr>
          <w:p w:rsidR="00B94EED" w:rsidRDefault="007B52EF" w:rsidP="007B5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223,350</w:t>
            </w:r>
          </w:p>
        </w:tc>
      </w:tr>
      <w:tr w:rsidR="00B94EED" w:rsidTr="007B52EF">
        <w:tc>
          <w:tcPr>
            <w:tcW w:w="817" w:type="dxa"/>
          </w:tcPr>
          <w:p w:rsidR="00B94EED" w:rsidRDefault="00B94EED" w:rsidP="00B94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961" w:type="dxa"/>
          </w:tcPr>
          <w:p w:rsidR="00B94EED" w:rsidRPr="00B94EED" w:rsidRDefault="00320AE8" w:rsidP="00320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Stock d</w:t>
            </w:r>
            <w:r w:rsidR="00B94EED" w:rsidRPr="00B94EED">
              <w:rPr>
                <w:rFonts w:ascii="Arial" w:hAnsi="Arial" w:cs="Arial"/>
                <w:sz w:val="20"/>
                <w:szCs w:val="20"/>
              </w:rPr>
              <w:t>ividend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94EED" w:rsidRDefault="007B52EF" w:rsidP="007B5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7.00%</w:t>
            </w:r>
          </w:p>
        </w:tc>
        <w:tc>
          <w:tcPr>
            <w:tcW w:w="2097" w:type="dxa"/>
          </w:tcPr>
          <w:p w:rsidR="00B94EED" w:rsidRDefault="007B52EF" w:rsidP="007B5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312,690</w:t>
            </w:r>
          </w:p>
        </w:tc>
      </w:tr>
      <w:tr w:rsidR="00B94EED" w:rsidTr="007B52EF">
        <w:tc>
          <w:tcPr>
            <w:tcW w:w="817" w:type="dxa"/>
          </w:tcPr>
          <w:p w:rsidR="00B94EED" w:rsidRDefault="00B94EED" w:rsidP="00B94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961" w:type="dxa"/>
          </w:tcPr>
          <w:p w:rsidR="00B94EED" w:rsidRPr="00B94EED" w:rsidRDefault="00B94EED" w:rsidP="00320AE8">
            <w:pPr>
              <w:rPr>
                <w:rFonts w:ascii="Arial" w:hAnsi="Arial" w:cs="Arial"/>
                <w:sz w:val="20"/>
                <w:szCs w:val="20"/>
              </w:rPr>
            </w:pPr>
            <w:r w:rsidRPr="00B94EED">
              <w:rPr>
                <w:rFonts w:ascii="Arial" w:hAnsi="Arial" w:cs="Arial"/>
                <w:sz w:val="20"/>
                <w:szCs w:val="20"/>
              </w:rPr>
              <w:t>Reward</w:t>
            </w:r>
            <w:r w:rsidR="00320AE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B94EED">
              <w:rPr>
                <w:rFonts w:ascii="Arial" w:hAnsi="Arial" w:cs="Arial"/>
                <w:sz w:val="20"/>
                <w:szCs w:val="20"/>
              </w:rPr>
              <w:t xml:space="preserve"> welfare </w:t>
            </w:r>
            <w:r w:rsidR="00320AE8">
              <w:rPr>
                <w:rFonts w:ascii="Arial" w:hAnsi="Arial" w:cs="Arial"/>
                <w:sz w:val="20"/>
                <w:szCs w:val="20"/>
              </w:rPr>
              <w:t>fund/</w:t>
            </w:r>
            <w:r w:rsidRPr="00B94EED">
              <w:rPr>
                <w:rFonts w:ascii="Arial" w:hAnsi="Arial" w:cs="Arial"/>
                <w:sz w:val="20"/>
                <w:szCs w:val="20"/>
              </w:rPr>
              <w:t xml:space="preserve">profit </w:t>
            </w:r>
            <w:r w:rsidR="00320AE8" w:rsidRPr="00B94EED">
              <w:rPr>
                <w:rFonts w:ascii="Arial" w:hAnsi="Arial" w:cs="Arial"/>
                <w:sz w:val="20"/>
                <w:szCs w:val="20"/>
              </w:rPr>
              <w:t>after</w:t>
            </w:r>
            <w:r w:rsidR="00320A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AE8" w:rsidRPr="00B94EED">
              <w:rPr>
                <w:rFonts w:ascii="Arial" w:hAnsi="Arial" w:cs="Arial"/>
                <w:sz w:val="20"/>
                <w:szCs w:val="20"/>
              </w:rPr>
              <w:t xml:space="preserve">tax </w:t>
            </w:r>
            <w:r w:rsidRPr="00B94EED">
              <w:rPr>
                <w:rFonts w:ascii="Arial" w:hAnsi="Arial" w:cs="Arial"/>
                <w:sz w:val="20"/>
                <w:szCs w:val="20"/>
              </w:rPr>
              <w:t>in 2016 (</w:t>
            </w:r>
            <w:r w:rsidR="00320AE8">
              <w:rPr>
                <w:rFonts w:ascii="Arial" w:hAnsi="Arial" w:cs="Arial"/>
                <w:sz w:val="20"/>
                <w:szCs w:val="20"/>
              </w:rPr>
              <w:t>in</w:t>
            </w:r>
            <w:r w:rsidRPr="00B94EED">
              <w:rPr>
                <w:rFonts w:ascii="Arial" w:hAnsi="Arial" w:cs="Arial"/>
                <w:sz w:val="20"/>
                <w:szCs w:val="20"/>
              </w:rPr>
              <w:t xml:space="preserve"> which 1% </w:t>
            </w:r>
            <w:r w:rsidR="00320AE8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B94EED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320AE8">
              <w:rPr>
                <w:rFonts w:ascii="Arial" w:hAnsi="Arial" w:cs="Arial"/>
                <w:sz w:val="20"/>
                <w:szCs w:val="20"/>
              </w:rPr>
              <w:t>reward to the Executive Board</w:t>
            </w:r>
            <w:r w:rsidRPr="00B94E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94EED" w:rsidRDefault="007B52EF" w:rsidP="007B5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12.00%</w:t>
            </w:r>
          </w:p>
        </w:tc>
        <w:tc>
          <w:tcPr>
            <w:tcW w:w="2097" w:type="dxa"/>
          </w:tcPr>
          <w:p w:rsidR="00B94EED" w:rsidRDefault="007B52EF" w:rsidP="007B5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74,239</w:t>
            </w:r>
          </w:p>
        </w:tc>
      </w:tr>
      <w:tr w:rsidR="00B94EED" w:rsidTr="007B52EF">
        <w:tc>
          <w:tcPr>
            <w:tcW w:w="817" w:type="dxa"/>
          </w:tcPr>
          <w:p w:rsidR="00B94EED" w:rsidRDefault="00B94EED" w:rsidP="00B94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961" w:type="dxa"/>
          </w:tcPr>
          <w:p w:rsidR="00B94EED" w:rsidRPr="00B94EED" w:rsidRDefault="00B94EED" w:rsidP="00320AE8">
            <w:pPr>
              <w:rPr>
                <w:rFonts w:ascii="Arial" w:hAnsi="Arial" w:cs="Arial"/>
                <w:sz w:val="20"/>
                <w:szCs w:val="20"/>
              </w:rPr>
            </w:pPr>
            <w:r w:rsidRPr="00B94EED">
              <w:rPr>
                <w:rFonts w:ascii="Arial" w:hAnsi="Arial" w:cs="Arial"/>
                <w:sz w:val="20"/>
                <w:szCs w:val="20"/>
              </w:rPr>
              <w:t xml:space="preserve">Development </w:t>
            </w:r>
            <w:r w:rsidR="00320AE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94EED">
              <w:rPr>
                <w:rFonts w:ascii="Arial" w:hAnsi="Arial" w:cs="Arial"/>
                <w:sz w:val="20"/>
                <w:szCs w:val="20"/>
              </w:rPr>
              <w:t xml:space="preserve">Investment Fund - </w:t>
            </w:r>
            <w:r w:rsidR="00320AE8">
              <w:rPr>
                <w:rFonts w:ascii="Arial" w:hAnsi="Arial" w:cs="Arial"/>
                <w:sz w:val="20"/>
                <w:szCs w:val="20"/>
              </w:rPr>
              <w:t>A</w:t>
            </w:r>
            <w:r w:rsidRPr="00B94EED">
              <w:rPr>
                <w:rFonts w:ascii="Arial" w:hAnsi="Arial" w:cs="Arial"/>
                <w:sz w:val="20"/>
                <w:szCs w:val="20"/>
              </w:rPr>
              <w:t xml:space="preserve">ll remaining </w:t>
            </w:r>
            <w:r w:rsidR="00320AE8">
              <w:rPr>
                <w:rFonts w:ascii="Arial" w:hAnsi="Arial" w:cs="Arial"/>
                <w:sz w:val="20"/>
                <w:szCs w:val="20"/>
              </w:rPr>
              <w:t xml:space="preserve">distributable </w:t>
            </w:r>
            <w:r w:rsidRPr="00B94EED">
              <w:rPr>
                <w:rFonts w:ascii="Arial" w:hAnsi="Arial" w:cs="Arial"/>
                <w:sz w:val="20"/>
                <w:szCs w:val="20"/>
              </w:rPr>
              <w:t xml:space="preserve">profits </w:t>
            </w:r>
          </w:p>
        </w:tc>
        <w:tc>
          <w:tcPr>
            <w:tcW w:w="1701" w:type="dxa"/>
          </w:tcPr>
          <w:p w:rsidR="00B94EED" w:rsidRDefault="007B52EF" w:rsidP="007B5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16.54%</w:t>
            </w:r>
          </w:p>
        </w:tc>
        <w:tc>
          <w:tcPr>
            <w:tcW w:w="2097" w:type="dxa"/>
          </w:tcPr>
          <w:p w:rsidR="00B94EED" w:rsidRDefault="007B52EF" w:rsidP="007B5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2EF">
              <w:rPr>
                <w:rFonts w:ascii="Arial" w:hAnsi="Arial" w:cs="Arial"/>
                <w:sz w:val="20"/>
                <w:szCs w:val="20"/>
              </w:rPr>
              <w:t>102,337</w:t>
            </w:r>
          </w:p>
        </w:tc>
      </w:tr>
    </w:tbl>
    <w:p w:rsidR="007B52EF" w:rsidRPr="007B52EF" w:rsidRDefault="007B52EF" w:rsidP="007B52EF">
      <w:pPr>
        <w:rPr>
          <w:rFonts w:ascii="Arial" w:hAnsi="Arial" w:cs="Arial"/>
          <w:sz w:val="20"/>
          <w:szCs w:val="20"/>
        </w:rPr>
      </w:pPr>
      <w:r w:rsidRPr="007B52EF">
        <w:rPr>
          <w:rFonts w:ascii="Arial" w:hAnsi="Arial" w:cs="Arial"/>
          <w:sz w:val="20"/>
          <w:szCs w:val="20"/>
        </w:rPr>
        <w:t>(*) The advance</w:t>
      </w:r>
      <w:r w:rsidR="00320AE8">
        <w:rPr>
          <w:rFonts w:ascii="Arial" w:hAnsi="Arial" w:cs="Arial"/>
          <w:sz w:val="20"/>
          <w:szCs w:val="20"/>
        </w:rPr>
        <w:t>d</w:t>
      </w:r>
      <w:r w:rsidRPr="007B52EF">
        <w:rPr>
          <w:rFonts w:ascii="Arial" w:hAnsi="Arial" w:cs="Arial"/>
          <w:sz w:val="20"/>
          <w:szCs w:val="20"/>
        </w:rPr>
        <w:t xml:space="preserve"> dividend (5%) was implemented by the Corporation in accordance with </w:t>
      </w:r>
      <w:r w:rsidR="00320AE8">
        <w:rPr>
          <w:rFonts w:ascii="Arial" w:hAnsi="Arial" w:cs="Arial"/>
          <w:sz w:val="20"/>
          <w:szCs w:val="20"/>
        </w:rPr>
        <w:t xml:space="preserve">the </w:t>
      </w:r>
      <w:r w:rsidRPr="007B52EF">
        <w:rPr>
          <w:rFonts w:ascii="Arial" w:hAnsi="Arial" w:cs="Arial"/>
          <w:sz w:val="20"/>
          <w:szCs w:val="20"/>
        </w:rPr>
        <w:t>Resolution No. 670/NQ-DVKT-HDQT dated 22</w:t>
      </w:r>
      <w:r w:rsidR="00320AE8" w:rsidRPr="00320AE8">
        <w:rPr>
          <w:rFonts w:ascii="Arial" w:hAnsi="Arial" w:cs="Arial"/>
          <w:sz w:val="20"/>
          <w:szCs w:val="20"/>
          <w:vertAlign w:val="superscript"/>
        </w:rPr>
        <w:t>nd</w:t>
      </w:r>
      <w:r w:rsidR="00320AE8">
        <w:rPr>
          <w:rFonts w:ascii="Arial" w:hAnsi="Arial" w:cs="Arial"/>
          <w:sz w:val="20"/>
          <w:szCs w:val="20"/>
        </w:rPr>
        <w:t xml:space="preserve"> November, </w:t>
      </w:r>
      <w:r w:rsidRPr="007B52EF">
        <w:rPr>
          <w:rFonts w:ascii="Arial" w:hAnsi="Arial" w:cs="Arial"/>
          <w:sz w:val="20"/>
          <w:szCs w:val="20"/>
        </w:rPr>
        <w:t xml:space="preserve">2016 of the Board of Directors and the Corporation paid to shareholders </w:t>
      </w:r>
      <w:r w:rsidR="00320AE8">
        <w:rPr>
          <w:rFonts w:ascii="Arial" w:hAnsi="Arial" w:cs="Arial"/>
          <w:sz w:val="20"/>
          <w:szCs w:val="20"/>
        </w:rPr>
        <w:t xml:space="preserve">since </w:t>
      </w:r>
      <w:r w:rsidRPr="007B52EF">
        <w:rPr>
          <w:rFonts w:ascii="Arial" w:hAnsi="Arial" w:cs="Arial"/>
          <w:sz w:val="20"/>
          <w:szCs w:val="20"/>
        </w:rPr>
        <w:t>29</w:t>
      </w:r>
      <w:r w:rsidR="00320AE8" w:rsidRPr="00320AE8">
        <w:rPr>
          <w:rFonts w:ascii="Arial" w:hAnsi="Arial" w:cs="Arial"/>
          <w:sz w:val="20"/>
          <w:szCs w:val="20"/>
          <w:vertAlign w:val="superscript"/>
        </w:rPr>
        <w:t>th</w:t>
      </w:r>
      <w:r w:rsidR="00320AE8">
        <w:rPr>
          <w:rFonts w:ascii="Arial" w:hAnsi="Arial" w:cs="Arial"/>
          <w:sz w:val="20"/>
          <w:szCs w:val="20"/>
        </w:rPr>
        <w:t xml:space="preserve"> December, </w:t>
      </w:r>
      <w:r w:rsidRPr="007B52EF">
        <w:rPr>
          <w:rFonts w:ascii="Arial" w:hAnsi="Arial" w:cs="Arial"/>
          <w:sz w:val="20"/>
          <w:szCs w:val="20"/>
        </w:rPr>
        <w:t>2016.</w:t>
      </w:r>
    </w:p>
    <w:p w:rsidR="00B94EED" w:rsidRDefault="007B52EF" w:rsidP="007B52EF">
      <w:pPr>
        <w:rPr>
          <w:rFonts w:ascii="Arial" w:hAnsi="Arial" w:cs="Arial"/>
          <w:sz w:val="20"/>
          <w:szCs w:val="20"/>
        </w:rPr>
      </w:pPr>
      <w:r w:rsidRPr="007B52EF">
        <w:rPr>
          <w:rFonts w:ascii="Arial" w:hAnsi="Arial" w:cs="Arial"/>
          <w:sz w:val="20"/>
          <w:szCs w:val="20"/>
        </w:rPr>
        <w:t xml:space="preserve">2. Financial Plan </w:t>
      </w:r>
      <w:r w:rsidR="00320AE8">
        <w:rPr>
          <w:rFonts w:ascii="Arial" w:hAnsi="Arial" w:cs="Arial"/>
          <w:sz w:val="20"/>
          <w:szCs w:val="20"/>
        </w:rPr>
        <w:t>in</w:t>
      </w:r>
      <w:r w:rsidRPr="007B52EF">
        <w:rPr>
          <w:rFonts w:ascii="Arial" w:hAnsi="Arial" w:cs="Arial"/>
          <w:sz w:val="20"/>
          <w:szCs w:val="20"/>
        </w:rPr>
        <w:t xml:space="preserve"> 2017: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127"/>
        <w:gridCol w:w="2238"/>
      </w:tblGrid>
      <w:tr w:rsidR="004553DB" w:rsidRPr="004553DB" w:rsidTr="00AC25B2">
        <w:trPr>
          <w:tblHeader/>
        </w:trPr>
        <w:tc>
          <w:tcPr>
            <w:tcW w:w="817" w:type="dxa"/>
          </w:tcPr>
          <w:p w:rsidR="004553DB" w:rsidRPr="004553DB" w:rsidRDefault="004553DB" w:rsidP="00455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3DB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394" w:type="dxa"/>
          </w:tcPr>
          <w:p w:rsidR="004553DB" w:rsidRPr="004553DB" w:rsidRDefault="004553DB" w:rsidP="00455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3DB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2127" w:type="dxa"/>
          </w:tcPr>
          <w:p w:rsidR="004553DB" w:rsidRPr="004553DB" w:rsidRDefault="004553DB" w:rsidP="00455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3DB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</w:p>
        </w:tc>
        <w:tc>
          <w:tcPr>
            <w:tcW w:w="2238" w:type="dxa"/>
          </w:tcPr>
          <w:p w:rsidR="004553DB" w:rsidRPr="004553DB" w:rsidRDefault="004553DB" w:rsidP="00455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3DB">
              <w:rPr>
                <w:rFonts w:ascii="Arial" w:hAnsi="Arial" w:cs="Arial"/>
                <w:b/>
                <w:sz w:val="20"/>
                <w:szCs w:val="20"/>
              </w:rPr>
              <w:t>Amount (VND)</w:t>
            </w: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Charter capital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4553DB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94" w:type="dxa"/>
          </w:tcPr>
          <w:p w:rsidR="004553DB" w:rsidRPr="004553DB" w:rsidRDefault="004553DB" w:rsidP="00EE4DB6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Charter capital at the beginning of the year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4553DB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4,467,004</w:t>
            </w: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94" w:type="dxa"/>
          </w:tcPr>
          <w:p w:rsidR="004553DB" w:rsidRP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Charter capital at the end of the year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4553DB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5,896,446</w:t>
            </w: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394" w:type="dxa"/>
          </w:tcPr>
          <w:p w:rsidR="004553DB" w:rsidRP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EE4DB6">
              <w:rPr>
                <w:rFonts w:ascii="Arial" w:hAnsi="Arial" w:cs="Arial"/>
                <w:sz w:val="20"/>
                <w:szCs w:val="20"/>
              </w:rPr>
              <w:t xml:space="preserve">average </w:t>
            </w:r>
            <w:r w:rsidRPr="004553DB">
              <w:rPr>
                <w:rFonts w:ascii="Arial" w:hAnsi="Arial" w:cs="Arial"/>
                <w:sz w:val="20"/>
                <w:szCs w:val="20"/>
              </w:rPr>
              <w:t>charter capital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4553DB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553DB">
              <w:rPr>
                <w:rFonts w:ascii="Arial" w:hAnsi="Arial" w:cs="Arial"/>
                <w:sz w:val="20"/>
                <w:szCs w:val="20"/>
              </w:rPr>
              <w:t>181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553DB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4553DB" w:rsidRP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Revenue: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4553DB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4553DB" w:rsidRPr="004553DB" w:rsidRDefault="004553DB" w:rsidP="00EE4DB6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EE4DB6">
              <w:rPr>
                <w:rFonts w:ascii="Arial" w:hAnsi="Arial" w:cs="Arial"/>
                <w:sz w:val="20"/>
                <w:szCs w:val="20"/>
              </w:rPr>
              <w:t>Consolidated r</w:t>
            </w:r>
            <w:r w:rsidRPr="004553DB">
              <w:rPr>
                <w:rFonts w:ascii="Arial" w:hAnsi="Arial" w:cs="Arial"/>
                <w:sz w:val="20"/>
                <w:szCs w:val="20"/>
              </w:rPr>
              <w:t xml:space="preserve">evenue 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4553DB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13,000,000</w:t>
            </w: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4553DB" w:rsidRP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+ Revenue of parent company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4553DB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553DB">
              <w:rPr>
                <w:rFonts w:ascii="Arial" w:hAnsi="Arial" w:cs="Arial"/>
                <w:sz w:val="20"/>
                <w:szCs w:val="20"/>
              </w:rPr>
              <w:t>900,000</w:t>
            </w: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4553DB" w:rsidRP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 xml:space="preserve">Profit before </w:t>
            </w:r>
            <w:r w:rsidR="00EE4DB6">
              <w:rPr>
                <w:rFonts w:ascii="Arial" w:hAnsi="Arial" w:cs="Arial"/>
                <w:sz w:val="20"/>
                <w:szCs w:val="20"/>
              </w:rPr>
              <w:t xml:space="preserve">corporate income </w:t>
            </w:r>
            <w:r w:rsidRPr="004553DB">
              <w:rPr>
                <w:rFonts w:ascii="Arial" w:hAnsi="Arial" w:cs="Arial"/>
                <w:sz w:val="20"/>
                <w:szCs w:val="20"/>
              </w:rPr>
              <w:t>tax: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4553DB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4553DB" w:rsidRPr="004553DB" w:rsidRDefault="004553DB" w:rsidP="00EE4DB6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+ Consolidated profit</w:t>
            </w:r>
            <w:r w:rsidR="00EE4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4DB6" w:rsidRPr="004553DB">
              <w:rPr>
                <w:rFonts w:ascii="Arial" w:hAnsi="Arial" w:cs="Arial"/>
                <w:sz w:val="20"/>
                <w:szCs w:val="20"/>
              </w:rPr>
              <w:t xml:space="preserve">before tax 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AC25B2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700,000</w:t>
            </w: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4553DB" w:rsidRP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+ Profit before tax of parent company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AC25B2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420,000</w:t>
            </w: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4553DB" w:rsidRP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Profit after tax: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4553DB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4553DB" w:rsidRP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+ Consolidated profit after tax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AC25B2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4553DB" w:rsidTr="004553DB">
        <w:tc>
          <w:tcPr>
            <w:tcW w:w="817" w:type="dxa"/>
          </w:tcPr>
          <w:p w:rsidR="004553DB" w:rsidRDefault="004553DB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4553DB" w:rsidRP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  <w:r w:rsidRPr="004553DB">
              <w:rPr>
                <w:rFonts w:ascii="Arial" w:hAnsi="Arial" w:cs="Arial"/>
                <w:sz w:val="20"/>
                <w:szCs w:val="20"/>
              </w:rPr>
              <w:t>+ Profit after tax of parent company</w:t>
            </w:r>
          </w:p>
        </w:tc>
        <w:tc>
          <w:tcPr>
            <w:tcW w:w="2127" w:type="dxa"/>
          </w:tcPr>
          <w:p w:rsidR="004553DB" w:rsidRDefault="004553DB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4553DB" w:rsidRDefault="00AC25B2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AC25B2" w:rsidTr="004553DB">
        <w:tc>
          <w:tcPr>
            <w:tcW w:w="817" w:type="dxa"/>
          </w:tcPr>
          <w:p w:rsidR="00AC25B2" w:rsidRDefault="00AC25B2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AC25B2" w:rsidRPr="004553DB" w:rsidRDefault="00AC25B2" w:rsidP="00EE4DB6">
            <w:pPr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Ratio of profit after tax/charter capital</w:t>
            </w:r>
          </w:p>
        </w:tc>
        <w:tc>
          <w:tcPr>
            <w:tcW w:w="2127" w:type="dxa"/>
          </w:tcPr>
          <w:p w:rsidR="00AC25B2" w:rsidRDefault="00AC25B2" w:rsidP="007B5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AC25B2" w:rsidRPr="00AC25B2" w:rsidRDefault="00AC25B2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5B2" w:rsidTr="004553DB">
        <w:tc>
          <w:tcPr>
            <w:tcW w:w="817" w:type="dxa"/>
          </w:tcPr>
          <w:p w:rsidR="00AC25B2" w:rsidRDefault="00AC25B2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AC25B2" w:rsidRPr="00AC25B2" w:rsidRDefault="00AC25B2" w:rsidP="00EE4DB6">
            <w:pPr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EE4DB6" w:rsidRPr="00AC25B2">
              <w:rPr>
                <w:rFonts w:ascii="Arial" w:hAnsi="Arial" w:cs="Arial"/>
                <w:sz w:val="20"/>
                <w:szCs w:val="20"/>
              </w:rPr>
              <w:t xml:space="preserve">Ratio of </w:t>
            </w:r>
            <w:r w:rsidR="00EE4DB6">
              <w:rPr>
                <w:rFonts w:ascii="Arial" w:hAnsi="Arial" w:cs="Arial"/>
                <w:sz w:val="20"/>
                <w:szCs w:val="20"/>
              </w:rPr>
              <w:t>p</w:t>
            </w:r>
            <w:r w:rsidRPr="00AC25B2">
              <w:rPr>
                <w:rFonts w:ascii="Arial" w:hAnsi="Arial" w:cs="Arial"/>
                <w:sz w:val="20"/>
                <w:szCs w:val="20"/>
              </w:rPr>
              <w:t xml:space="preserve">rofit after tax/charter capital </w:t>
            </w:r>
          </w:p>
        </w:tc>
        <w:tc>
          <w:tcPr>
            <w:tcW w:w="2127" w:type="dxa"/>
          </w:tcPr>
          <w:p w:rsidR="00AC25B2" w:rsidRDefault="00AC25B2" w:rsidP="00AC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9.50%</w:t>
            </w:r>
          </w:p>
        </w:tc>
        <w:tc>
          <w:tcPr>
            <w:tcW w:w="2238" w:type="dxa"/>
          </w:tcPr>
          <w:p w:rsidR="00AC25B2" w:rsidRPr="00AC25B2" w:rsidRDefault="00AC25B2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5B2" w:rsidTr="004553DB">
        <w:tc>
          <w:tcPr>
            <w:tcW w:w="817" w:type="dxa"/>
          </w:tcPr>
          <w:p w:rsidR="00AC25B2" w:rsidRDefault="00AC25B2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AC25B2" w:rsidRPr="00AC25B2" w:rsidRDefault="00AC25B2" w:rsidP="00EE4DB6">
            <w:pPr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EE4DB6" w:rsidRPr="00AC25B2">
              <w:rPr>
                <w:rFonts w:ascii="Arial" w:hAnsi="Arial" w:cs="Arial"/>
                <w:sz w:val="20"/>
                <w:szCs w:val="20"/>
              </w:rPr>
              <w:t xml:space="preserve">Ratio of </w:t>
            </w:r>
            <w:r w:rsidR="00EE4DB6">
              <w:rPr>
                <w:rFonts w:ascii="Arial" w:hAnsi="Arial" w:cs="Arial"/>
                <w:sz w:val="20"/>
                <w:szCs w:val="20"/>
              </w:rPr>
              <w:t>p</w:t>
            </w:r>
            <w:r w:rsidRPr="00AC25B2">
              <w:rPr>
                <w:rFonts w:ascii="Arial" w:hAnsi="Arial" w:cs="Arial"/>
                <w:sz w:val="20"/>
                <w:szCs w:val="20"/>
              </w:rPr>
              <w:t xml:space="preserve">rofit </w:t>
            </w:r>
            <w:r w:rsidR="00EE4DB6" w:rsidRPr="00AC25B2">
              <w:rPr>
                <w:rFonts w:ascii="Arial" w:hAnsi="Arial" w:cs="Arial"/>
                <w:sz w:val="20"/>
                <w:szCs w:val="20"/>
              </w:rPr>
              <w:t xml:space="preserve">after tax </w:t>
            </w:r>
            <w:r w:rsidR="00EE4DB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AC25B2">
              <w:rPr>
                <w:rFonts w:ascii="Arial" w:hAnsi="Arial" w:cs="Arial"/>
                <w:sz w:val="20"/>
                <w:szCs w:val="20"/>
              </w:rPr>
              <w:t>parent company/charter capital</w:t>
            </w:r>
          </w:p>
        </w:tc>
        <w:tc>
          <w:tcPr>
            <w:tcW w:w="2127" w:type="dxa"/>
          </w:tcPr>
          <w:p w:rsidR="00AC25B2" w:rsidRDefault="00AC25B2" w:rsidP="00AC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6.95%</w:t>
            </w:r>
          </w:p>
        </w:tc>
        <w:tc>
          <w:tcPr>
            <w:tcW w:w="2238" w:type="dxa"/>
          </w:tcPr>
          <w:p w:rsidR="00AC25B2" w:rsidRPr="00AC25B2" w:rsidRDefault="00AC25B2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5B2" w:rsidTr="004553DB">
        <w:tc>
          <w:tcPr>
            <w:tcW w:w="817" w:type="dxa"/>
          </w:tcPr>
          <w:p w:rsidR="00AC25B2" w:rsidRDefault="00AC25B2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AC25B2" w:rsidRPr="00AC25B2" w:rsidRDefault="00EE4DB6" w:rsidP="00EE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Distributable p</w:t>
            </w:r>
            <w:r w:rsidR="00AC25B2" w:rsidRPr="00AC25B2">
              <w:rPr>
                <w:rFonts w:ascii="Arial" w:hAnsi="Arial" w:cs="Arial"/>
                <w:sz w:val="20"/>
                <w:szCs w:val="20"/>
              </w:rPr>
              <w:t xml:space="preserve">rofit </w:t>
            </w:r>
            <w:r>
              <w:rPr>
                <w:rFonts w:ascii="Arial" w:hAnsi="Arial" w:cs="Arial"/>
                <w:sz w:val="20"/>
                <w:szCs w:val="20"/>
              </w:rPr>
              <w:t>of Parent company</w:t>
            </w:r>
            <w:r w:rsidR="00AC25B2" w:rsidRPr="00AC25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7" w:type="dxa"/>
          </w:tcPr>
          <w:p w:rsidR="00AC25B2" w:rsidRDefault="00AC25B2" w:rsidP="00AC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AC25B2" w:rsidRPr="00AC25B2" w:rsidRDefault="00AC25B2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AC25B2" w:rsidTr="004553DB">
        <w:tc>
          <w:tcPr>
            <w:tcW w:w="817" w:type="dxa"/>
          </w:tcPr>
          <w:p w:rsidR="00AC25B2" w:rsidRDefault="00AC25B2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AC25B2" w:rsidRPr="00AC25B2" w:rsidRDefault="00AC25B2" w:rsidP="007B52EF">
            <w:pPr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+ Dividend</w:t>
            </w:r>
          </w:p>
        </w:tc>
        <w:tc>
          <w:tcPr>
            <w:tcW w:w="2127" w:type="dxa"/>
          </w:tcPr>
          <w:p w:rsidR="00AC25B2" w:rsidRDefault="00AC25B2" w:rsidP="00AC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7.00%</w:t>
            </w:r>
          </w:p>
        </w:tc>
        <w:tc>
          <w:tcPr>
            <w:tcW w:w="2238" w:type="dxa"/>
          </w:tcPr>
          <w:p w:rsidR="00AC25B2" w:rsidRPr="00AC25B2" w:rsidRDefault="00AC25B2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355,574</w:t>
            </w:r>
          </w:p>
        </w:tc>
      </w:tr>
      <w:tr w:rsidR="00AC25B2" w:rsidTr="004553DB">
        <w:tc>
          <w:tcPr>
            <w:tcW w:w="817" w:type="dxa"/>
          </w:tcPr>
          <w:p w:rsidR="00AC25B2" w:rsidRDefault="00AC25B2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AC25B2" w:rsidRPr="00AC25B2" w:rsidRDefault="00AC25B2" w:rsidP="00EE4DB6">
            <w:pPr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+ Reward</w:t>
            </w:r>
            <w:r w:rsidR="00EE4DB6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AC25B2">
              <w:rPr>
                <w:rFonts w:ascii="Arial" w:hAnsi="Arial" w:cs="Arial"/>
                <w:sz w:val="20"/>
                <w:szCs w:val="20"/>
              </w:rPr>
              <w:t xml:space="preserve"> welfare fund/distribut</w:t>
            </w:r>
            <w:r w:rsidR="00EE4DB6">
              <w:rPr>
                <w:rFonts w:ascii="Arial" w:hAnsi="Arial" w:cs="Arial"/>
                <w:sz w:val="20"/>
                <w:szCs w:val="20"/>
              </w:rPr>
              <w:t>able</w:t>
            </w:r>
            <w:r w:rsidRPr="00AC25B2">
              <w:rPr>
                <w:rFonts w:ascii="Arial" w:hAnsi="Arial" w:cs="Arial"/>
                <w:sz w:val="20"/>
                <w:szCs w:val="20"/>
              </w:rPr>
              <w:t xml:space="preserve"> profit (</w:t>
            </w:r>
            <w:r w:rsidR="00EE4DB6">
              <w:rPr>
                <w:rFonts w:ascii="Arial" w:hAnsi="Arial" w:cs="Arial"/>
                <w:sz w:val="20"/>
                <w:szCs w:val="20"/>
              </w:rPr>
              <w:t>in</w:t>
            </w:r>
            <w:r w:rsidRPr="00AC25B2">
              <w:rPr>
                <w:rFonts w:ascii="Arial" w:hAnsi="Arial" w:cs="Arial"/>
                <w:sz w:val="20"/>
                <w:szCs w:val="20"/>
              </w:rPr>
              <w:t xml:space="preserve"> which 1% </w:t>
            </w:r>
            <w:r w:rsidR="00EE4DB6">
              <w:rPr>
                <w:rFonts w:ascii="Arial" w:hAnsi="Arial" w:cs="Arial"/>
                <w:sz w:val="20"/>
                <w:szCs w:val="20"/>
              </w:rPr>
              <w:t>is for the Executive Board</w:t>
            </w:r>
            <w:r w:rsidRPr="00AC25B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127" w:type="dxa"/>
          </w:tcPr>
          <w:p w:rsidR="00AC25B2" w:rsidRDefault="00AC25B2" w:rsidP="00AC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12.00%</w:t>
            </w:r>
          </w:p>
        </w:tc>
        <w:tc>
          <w:tcPr>
            <w:tcW w:w="2238" w:type="dxa"/>
          </w:tcPr>
          <w:p w:rsidR="00AC25B2" w:rsidRPr="00AC25B2" w:rsidRDefault="00AC25B2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49, 200</w:t>
            </w:r>
          </w:p>
        </w:tc>
      </w:tr>
      <w:tr w:rsidR="00AC25B2" w:rsidTr="004553DB">
        <w:tc>
          <w:tcPr>
            <w:tcW w:w="817" w:type="dxa"/>
          </w:tcPr>
          <w:p w:rsidR="00AC25B2" w:rsidRDefault="00AC25B2" w:rsidP="0045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AC25B2" w:rsidRPr="00AC25B2" w:rsidRDefault="00AC25B2" w:rsidP="00EE4DB6">
            <w:pPr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 xml:space="preserve">+ Development </w:t>
            </w:r>
            <w:r w:rsidR="00EE4DB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AC25B2">
              <w:rPr>
                <w:rFonts w:ascii="Arial" w:hAnsi="Arial" w:cs="Arial"/>
                <w:sz w:val="20"/>
                <w:szCs w:val="20"/>
              </w:rPr>
              <w:t xml:space="preserve">Investment Fund - </w:t>
            </w:r>
            <w:r w:rsidR="00EE4DB6">
              <w:rPr>
                <w:rFonts w:ascii="Arial" w:hAnsi="Arial" w:cs="Arial"/>
                <w:sz w:val="20"/>
                <w:szCs w:val="20"/>
              </w:rPr>
              <w:t>A</w:t>
            </w:r>
            <w:r w:rsidRPr="00AC25B2">
              <w:rPr>
                <w:rFonts w:ascii="Arial" w:hAnsi="Arial" w:cs="Arial"/>
                <w:sz w:val="20"/>
                <w:szCs w:val="20"/>
              </w:rPr>
              <w:t xml:space="preserve">ll remaining </w:t>
            </w:r>
            <w:r w:rsidR="00EE4DB6" w:rsidRPr="00AC25B2">
              <w:rPr>
                <w:rFonts w:ascii="Arial" w:hAnsi="Arial" w:cs="Arial"/>
                <w:sz w:val="20"/>
                <w:szCs w:val="20"/>
              </w:rPr>
              <w:t>distribut</w:t>
            </w:r>
            <w:r w:rsidR="00EE4DB6">
              <w:rPr>
                <w:rFonts w:ascii="Arial" w:hAnsi="Arial" w:cs="Arial"/>
                <w:sz w:val="20"/>
                <w:szCs w:val="20"/>
              </w:rPr>
              <w:t xml:space="preserve">able </w:t>
            </w:r>
            <w:r w:rsidRPr="00AC25B2">
              <w:rPr>
                <w:rFonts w:ascii="Arial" w:hAnsi="Arial" w:cs="Arial"/>
                <w:sz w:val="20"/>
                <w:szCs w:val="20"/>
              </w:rPr>
              <w:t xml:space="preserve">profits </w:t>
            </w:r>
          </w:p>
        </w:tc>
        <w:tc>
          <w:tcPr>
            <w:tcW w:w="2127" w:type="dxa"/>
          </w:tcPr>
          <w:p w:rsidR="00AC25B2" w:rsidRDefault="00AC25B2" w:rsidP="00AC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1.27%</w:t>
            </w:r>
          </w:p>
        </w:tc>
        <w:tc>
          <w:tcPr>
            <w:tcW w:w="2238" w:type="dxa"/>
          </w:tcPr>
          <w:p w:rsidR="00AC25B2" w:rsidRPr="00AC25B2" w:rsidRDefault="00AC25B2" w:rsidP="00455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25B2">
              <w:rPr>
                <w:rFonts w:ascii="Arial" w:hAnsi="Arial" w:cs="Arial"/>
                <w:sz w:val="20"/>
                <w:szCs w:val="20"/>
              </w:rPr>
              <w:t>5,226</w:t>
            </w:r>
          </w:p>
        </w:tc>
      </w:tr>
    </w:tbl>
    <w:p w:rsidR="006750F7" w:rsidRPr="006750F7" w:rsidRDefault="006750F7" w:rsidP="006750F7">
      <w:pPr>
        <w:rPr>
          <w:rFonts w:ascii="Arial" w:hAnsi="Arial" w:cs="Arial"/>
          <w:sz w:val="20"/>
          <w:szCs w:val="20"/>
        </w:rPr>
      </w:pPr>
      <w:r w:rsidRPr="00EE4DB6">
        <w:rPr>
          <w:rFonts w:ascii="Arial" w:hAnsi="Arial" w:cs="Arial"/>
          <w:b/>
          <w:sz w:val="20"/>
          <w:szCs w:val="20"/>
        </w:rPr>
        <w:t>Article 7.</w:t>
      </w:r>
      <w:r w:rsidRPr="006750F7">
        <w:rPr>
          <w:rFonts w:ascii="Arial" w:hAnsi="Arial" w:cs="Arial"/>
          <w:sz w:val="20"/>
          <w:szCs w:val="20"/>
        </w:rPr>
        <w:t xml:space="preserve"> </w:t>
      </w:r>
      <w:r w:rsidR="002372F5">
        <w:rPr>
          <w:rFonts w:ascii="Arial" w:hAnsi="Arial" w:cs="Arial"/>
          <w:sz w:val="20"/>
          <w:szCs w:val="20"/>
        </w:rPr>
        <w:t>To approve</w:t>
      </w:r>
      <w:r w:rsidR="002372F5" w:rsidRPr="00B94EED">
        <w:rPr>
          <w:rFonts w:ascii="Arial" w:hAnsi="Arial" w:cs="Arial"/>
          <w:sz w:val="20"/>
          <w:szCs w:val="20"/>
        </w:rPr>
        <w:t xml:space="preserve"> the </w:t>
      </w:r>
      <w:r w:rsidRPr="006750F7">
        <w:rPr>
          <w:rFonts w:ascii="Arial" w:hAnsi="Arial" w:cs="Arial"/>
          <w:sz w:val="20"/>
          <w:szCs w:val="20"/>
        </w:rPr>
        <w:t>selection of Deloitte Vietnam Company Limited to audit the Corporation's 2017 Financial Statements.</w:t>
      </w:r>
    </w:p>
    <w:p w:rsidR="006750F7" w:rsidRPr="006750F7" w:rsidRDefault="006750F7" w:rsidP="006750F7">
      <w:pPr>
        <w:rPr>
          <w:rFonts w:ascii="Arial" w:hAnsi="Arial" w:cs="Arial"/>
          <w:sz w:val="20"/>
          <w:szCs w:val="20"/>
        </w:rPr>
      </w:pPr>
      <w:r w:rsidRPr="00EE4DB6">
        <w:rPr>
          <w:rFonts w:ascii="Arial" w:hAnsi="Arial" w:cs="Arial"/>
          <w:b/>
          <w:sz w:val="20"/>
          <w:szCs w:val="20"/>
        </w:rPr>
        <w:t>Article 8.</w:t>
      </w:r>
      <w:r w:rsidRPr="006750F7">
        <w:rPr>
          <w:rFonts w:ascii="Arial" w:hAnsi="Arial" w:cs="Arial"/>
          <w:sz w:val="20"/>
          <w:szCs w:val="20"/>
        </w:rPr>
        <w:t xml:space="preserve"> </w:t>
      </w:r>
      <w:r w:rsidR="002372F5">
        <w:rPr>
          <w:rFonts w:ascii="Arial" w:hAnsi="Arial" w:cs="Arial"/>
          <w:sz w:val="20"/>
          <w:szCs w:val="20"/>
        </w:rPr>
        <w:t>To approve</w:t>
      </w:r>
      <w:r w:rsidR="002372F5" w:rsidRPr="00B94EED">
        <w:rPr>
          <w:rFonts w:ascii="Arial" w:hAnsi="Arial" w:cs="Arial"/>
          <w:sz w:val="20"/>
          <w:szCs w:val="20"/>
        </w:rPr>
        <w:t xml:space="preserve"> the </w:t>
      </w:r>
      <w:r w:rsidRPr="006750F7">
        <w:rPr>
          <w:rFonts w:ascii="Arial" w:hAnsi="Arial" w:cs="Arial"/>
          <w:sz w:val="20"/>
          <w:szCs w:val="20"/>
        </w:rPr>
        <w:t xml:space="preserve">plan to increase the Corporation's charter capital as </w:t>
      </w:r>
      <w:r w:rsidR="00E00BAA">
        <w:rPr>
          <w:rFonts w:ascii="Arial" w:hAnsi="Arial" w:cs="Arial"/>
          <w:sz w:val="20"/>
          <w:szCs w:val="20"/>
        </w:rPr>
        <w:t xml:space="preserve">the </w:t>
      </w:r>
      <w:r w:rsidRPr="006750F7">
        <w:rPr>
          <w:rFonts w:ascii="Arial" w:hAnsi="Arial" w:cs="Arial"/>
          <w:sz w:val="20"/>
          <w:szCs w:val="20"/>
        </w:rPr>
        <w:t>Report No. 535/</w:t>
      </w:r>
      <w:proofErr w:type="spellStart"/>
      <w:r w:rsidRPr="006750F7">
        <w:rPr>
          <w:rFonts w:ascii="Arial" w:hAnsi="Arial" w:cs="Arial"/>
          <w:sz w:val="20"/>
          <w:szCs w:val="20"/>
        </w:rPr>
        <w:t>TTr</w:t>
      </w:r>
      <w:proofErr w:type="spellEnd"/>
      <w:r w:rsidRPr="006750F7">
        <w:rPr>
          <w:rFonts w:ascii="Arial" w:hAnsi="Arial" w:cs="Arial"/>
          <w:sz w:val="20"/>
          <w:szCs w:val="20"/>
        </w:rPr>
        <w:t>-DVKT-HDQT dated 28</w:t>
      </w:r>
      <w:r w:rsidR="00EE4DB6" w:rsidRPr="00EE4DB6">
        <w:rPr>
          <w:rFonts w:ascii="Arial" w:hAnsi="Arial" w:cs="Arial"/>
          <w:sz w:val="20"/>
          <w:szCs w:val="20"/>
          <w:vertAlign w:val="superscript"/>
        </w:rPr>
        <w:t>th</w:t>
      </w:r>
      <w:r w:rsidR="00EE4DB6">
        <w:rPr>
          <w:rFonts w:ascii="Arial" w:hAnsi="Arial" w:cs="Arial"/>
          <w:sz w:val="20"/>
          <w:szCs w:val="20"/>
        </w:rPr>
        <w:t xml:space="preserve"> April, </w:t>
      </w:r>
      <w:r w:rsidRPr="006750F7">
        <w:rPr>
          <w:rFonts w:ascii="Arial" w:hAnsi="Arial" w:cs="Arial"/>
          <w:sz w:val="20"/>
          <w:szCs w:val="20"/>
        </w:rPr>
        <w:t>2017.</w:t>
      </w:r>
    </w:p>
    <w:p w:rsidR="006750F7" w:rsidRPr="006750F7" w:rsidRDefault="006750F7" w:rsidP="006750F7">
      <w:pPr>
        <w:rPr>
          <w:rFonts w:ascii="Arial" w:hAnsi="Arial" w:cs="Arial"/>
          <w:sz w:val="20"/>
          <w:szCs w:val="20"/>
        </w:rPr>
      </w:pPr>
      <w:r w:rsidRPr="00EE4DB6">
        <w:rPr>
          <w:rFonts w:ascii="Arial" w:hAnsi="Arial" w:cs="Arial"/>
          <w:b/>
          <w:sz w:val="20"/>
          <w:szCs w:val="20"/>
        </w:rPr>
        <w:t>Article 9.</w:t>
      </w:r>
      <w:r w:rsidRPr="006750F7">
        <w:rPr>
          <w:rFonts w:ascii="Arial" w:hAnsi="Arial" w:cs="Arial"/>
          <w:sz w:val="20"/>
          <w:szCs w:val="20"/>
        </w:rPr>
        <w:t xml:space="preserve"> </w:t>
      </w:r>
      <w:r w:rsidR="002372F5">
        <w:rPr>
          <w:rFonts w:ascii="Arial" w:hAnsi="Arial" w:cs="Arial"/>
          <w:sz w:val="20"/>
          <w:szCs w:val="20"/>
        </w:rPr>
        <w:t>To approve</w:t>
      </w:r>
      <w:r w:rsidR="002372F5" w:rsidRPr="00B94EED">
        <w:rPr>
          <w:rFonts w:ascii="Arial" w:hAnsi="Arial" w:cs="Arial"/>
          <w:sz w:val="20"/>
          <w:szCs w:val="20"/>
        </w:rPr>
        <w:t xml:space="preserve"> the </w:t>
      </w:r>
      <w:r w:rsidR="00E00BAA">
        <w:rPr>
          <w:rFonts w:ascii="Arial" w:hAnsi="Arial" w:cs="Arial"/>
          <w:sz w:val="20"/>
          <w:szCs w:val="20"/>
        </w:rPr>
        <w:t>change</w:t>
      </w:r>
      <w:r w:rsidRPr="006750F7">
        <w:rPr>
          <w:rFonts w:ascii="Arial" w:hAnsi="Arial" w:cs="Arial"/>
          <w:sz w:val="20"/>
          <w:szCs w:val="20"/>
        </w:rPr>
        <w:t xml:space="preserve"> of </w:t>
      </w:r>
      <w:r w:rsidR="00E00BAA">
        <w:rPr>
          <w:rFonts w:ascii="Arial" w:hAnsi="Arial" w:cs="Arial"/>
          <w:sz w:val="20"/>
          <w:szCs w:val="20"/>
        </w:rPr>
        <w:t xml:space="preserve">listing of </w:t>
      </w:r>
      <w:r w:rsidRPr="006750F7">
        <w:rPr>
          <w:rFonts w:ascii="Arial" w:hAnsi="Arial" w:cs="Arial"/>
          <w:sz w:val="20"/>
          <w:szCs w:val="20"/>
        </w:rPr>
        <w:t xml:space="preserve">all shares of PVS from Hanoi Stock Exchange to Ho Chi Minh City Stock Exchange, as </w:t>
      </w:r>
      <w:r w:rsidR="00E00BAA">
        <w:rPr>
          <w:rFonts w:ascii="Arial" w:hAnsi="Arial" w:cs="Arial"/>
          <w:sz w:val="20"/>
          <w:szCs w:val="20"/>
        </w:rPr>
        <w:t xml:space="preserve">the </w:t>
      </w:r>
      <w:r w:rsidRPr="006750F7">
        <w:rPr>
          <w:rFonts w:ascii="Arial" w:hAnsi="Arial" w:cs="Arial"/>
          <w:sz w:val="20"/>
          <w:szCs w:val="20"/>
        </w:rPr>
        <w:t>Report No. 536/</w:t>
      </w:r>
      <w:proofErr w:type="spellStart"/>
      <w:r w:rsidRPr="006750F7">
        <w:rPr>
          <w:rFonts w:ascii="Arial" w:hAnsi="Arial" w:cs="Arial"/>
          <w:sz w:val="20"/>
          <w:szCs w:val="20"/>
        </w:rPr>
        <w:t>TTr</w:t>
      </w:r>
      <w:proofErr w:type="spellEnd"/>
      <w:r w:rsidRPr="006750F7">
        <w:rPr>
          <w:rFonts w:ascii="Arial" w:hAnsi="Arial" w:cs="Arial"/>
          <w:sz w:val="20"/>
          <w:szCs w:val="20"/>
        </w:rPr>
        <w:t xml:space="preserve">-DVKT-HĐQT dated </w:t>
      </w:r>
      <w:r w:rsidR="00E00BAA" w:rsidRPr="006750F7">
        <w:rPr>
          <w:rFonts w:ascii="Arial" w:hAnsi="Arial" w:cs="Arial"/>
          <w:sz w:val="20"/>
          <w:szCs w:val="20"/>
        </w:rPr>
        <w:t>28</w:t>
      </w:r>
      <w:r w:rsidR="00E00BAA" w:rsidRPr="00EE4DB6">
        <w:rPr>
          <w:rFonts w:ascii="Arial" w:hAnsi="Arial" w:cs="Arial"/>
          <w:sz w:val="20"/>
          <w:szCs w:val="20"/>
          <w:vertAlign w:val="superscript"/>
        </w:rPr>
        <w:t>th</w:t>
      </w:r>
      <w:r w:rsidR="00E00BAA">
        <w:rPr>
          <w:rFonts w:ascii="Arial" w:hAnsi="Arial" w:cs="Arial"/>
          <w:sz w:val="20"/>
          <w:szCs w:val="20"/>
        </w:rPr>
        <w:t xml:space="preserve"> April, </w:t>
      </w:r>
      <w:r w:rsidRPr="006750F7">
        <w:rPr>
          <w:rFonts w:ascii="Arial" w:hAnsi="Arial" w:cs="Arial"/>
          <w:sz w:val="20"/>
          <w:szCs w:val="20"/>
        </w:rPr>
        <w:t>2017.</w:t>
      </w:r>
    </w:p>
    <w:p w:rsidR="006750F7" w:rsidRPr="006750F7" w:rsidRDefault="006750F7" w:rsidP="006750F7">
      <w:pPr>
        <w:rPr>
          <w:rFonts w:ascii="Arial" w:hAnsi="Arial" w:cs="Arial"/>
          <w:sz w:val="20"/>
          <w:szCs w:val="20"/>
        </w:rPr>
      </w:pPr>
      <w:r w:rsidRPr="00E00BAA">
        <w:rPr>
          <w:rFonts w:ascii="Arial" w:hAnsi="Arial" w:cs="Arial"/>
          <w:b/>
          <w:sz w:val="20"/>
          <w:szCs w:val="20"/>
        </w:rPr>
        <w:t>Article 10.</w:t>
      </w:r>
      <w:r w:rsidRPr="006750F7">
        <w:rPr>
          <w:rFonts w:ascii="Arial" w:hAnsi="Arial" w:cs="Arial"/>
          <w:sz w:val="20"/>
          <w:szCs w:val="20"/>
        </w:rPr>
        <w:t xml:space="preserve"> </w:t>
      </w:r>
      <w:r w:rsidR="002372F5">
        <w:rPr>
          <w:rFonts w:ascii="Arial" w:hAnsi="Arial" w:cs="Arial"/>
          <w:sz w:val="20"/>
          <w:szCs w:val="20"/>
        </w:rPr>
        <w:t>To approve</w:t>
      </w:r>
      <w:r w:rsidR="002372F5" w:rsidRPr="00B94EED">
        <w:rPr>
          <w:rFonts w:ascii="Arial" w:hAnsi="Arial" w:cs="Arial"/>
          <w:sz w:val="20"/>
          <w:szCs w:val="20"/>
        </w:rPr>
        <w:t xml:space="preserve"> the </w:t>
      </w:r>
      <w:r w:rsidR="00E00BAA">
        <w:rPr>
          <w:rFonts w:ascii="Arial" w:hAnsi="Arial" w:cs="Arial"/>
          <w:sz w:val="20"/>
          <w:szCs w:val="20"/>
        </w:rPr>
        <w:t xml:space="preserve">personnel </w:t>
      </w:r>
      <w:r w:rsidRPr="006750F7">
        <w:rPr>
          <w:rFonts w:ascii="Arial" w:hAnsi="Arial" w:cs="Arial"/>
          <w:sz w:val="20"/>
          <w:szCs w:val="20"/>
        </w:rPr>
        <w:t xml:space="preserve">content of the Board of Directors and the Supervisory Board as </w:t>
      </w:r>
      <w:r w:rsidR="00E00BAA">
        <w:rPr>
          <w:rFonts w:ascii="Arial" w:hAnsi="Arial" w:cs="Arial"/>
          <w:sz w:val="20"/>
          <w:szCs w:val="20"/>
        </w:rPr>
        <w:t xml:space="preserve">the </w:t>
      </w:r>
      <w:r w:rsidRPr="006750F7">
        <w:rPr>
          <w:rFonts w:ascii="Arial" w:hAnsi="Arial" w:cs="Arial"/>
          <w:sz w:val="20"/>
          <w:szCs w:val="20"/>
        </w:rPr>
        <w:t>Report No. 537/</w:t>
      </w:r>
      <w:proofErr w:type="spellStart"/>
      <w:r w:rsidRPr="006750F7">
        <w:rPr>
          <w:rFonts w:ascii="Arial" w:hAnsi="Arial" w:cs="Arial"/>
          <w:sz w:val="20"/>
          <w:szCs w:val="20"/>
        </w:rPr>
        <w:t>TTr</w:t>
      </w:r>
      <w:proofErr w:type="spellEnd"/>
      <w:r w:rsidRPr="006750F7">
        <w:rPr>
          <w:rFonts w:ascii="Arial" w:hAnsi="Arial" w:cs="Arial"/>
          <w:sz w:val="20"/>
          <w:szCs w:val="20"/>
        </w:rPr>
        <w:t xml:space="preserve">-DVKT-HDQT dated </w:t>
      </w:r>
      <w:r w:rsidR="00E00BAA" w:rsidRPr="006750F7">
        <w:rPr>
          <w:rFonts w:ascii="Arial" w:hAnsi="Arial" w:cs="Arial"/>
          <w:sz w:val="20"/>
          <w:szCs w:val="20"/>
        </w:rPr>
        <w:t>28</w:t>
      </w:r>
      <w:r w:rsidR="00E00BAA" w:rsidRPr="00EE4DB6">
        <w:rPr>
          <w:rFonts w:ascii="Arial" w:hAnsi="Arial" w:cs="Arial"/>
          <w:sz w:val="20"/>
          <w:szCs w:val="20"/>
          <w:vertAlign w:val="superscript"/>
        </w:rPr>
        <w:t>th</w:t>
      </w:r>
      <w:r w:rsidR="00E00BAA">
        <w:rPr>
          <w:rFonts w:ascii="Arial" w:hAnsi="Arial" w:cs="Arial"/>
          <w:sz w:val="20"/>
          <w:szCs w:val="20"/>
        </w:rPr>
        <w:t xml:space="preserve"> April, </w:t>
      </w:r>
      <w:r w:rsidRPr="006750F7">
        <w:rPr>
          <w:rFonts w:ascii="Arial" w:hAnsi="Arial" w:cs="Arial"/>
          <w:sz w:val="20"/>
          <w:szCs w:val="20"/>
        </w:rPr>
        <w:t>2017.</w:t>
      </w:r>
    </w:p>
    <w:p w:rsidR="006750F7" w:rsidRPr="006750F7" w:rsidRDefault="006750F7" w:rsidP="006750F7">
      <w:pPr>
        <w:rPr>
          <w:rFonts w:ascii="Arial" w:hAnsi="Arial" w:cs="Arial"/>
          <w:sz w:val="20"/>
          <w:szCs w:val="20"/>
        </w:rPr>
      </w:pPr>
      <w:r w:rsidRPr="00E00BAA">
        <w:rPr>
          <w:rFonts w:ascii="Arial" w:hAnsi="Arial" w:cs="Arial"/>
          <w:b/>
          <w:sz w:val="20"/>
          <w:szCs w:val="20"/>
        </w:rPr>
        <w:t>Article 11.</w:t>
      </w:r>
      <w:r w:rsidRPr="006750F7">
        <w:rPr>
          <w:rFonts w:ascii="Arial" w:hAnsi="Arial" w:cs="Arial"/>
          <w:sz w:val="20"/>
          <w:szCs w:val="20"/>
        </w:rPr>
        <w:t xml:space="preserve"> To approve the remuneration </w:t>
      </w:r>
      <w:r w:rsidR="00E00BAA">
        <w:rPr>
          <w:rFonts w:ascii="Arial" w:hAnsi="Arial" w:cs="Arial"/>
          <w:sz w:val="20"/>
          <w:szCs w:val="20"/>
        </w:rPr>
        <w:t>for</w:t>
      </w:r>
      <w:r w:rsidRPr="006750F7">
        <w:rPr>
          <w:rFonts w:ascii="Arial" w:hAnsi="Arial" w:cs="Arial"/>
          <w:sz w:val="20"/>
          <w:szCs w:val="20"/>
        </w:rPr>
        <w:t xml:space="preserve"> members of the Board of Directors and the Supervisory Board in 2017 as follows:</w:t>
      </w:r>
    </w:p>
    <w:p w:rsidR="006750F7" w:rsidRPr="006750F7" w:rsidRDefault="006750F7" w:rsidP="006750F7">
      <w:pPr>
        <w:rPr>
          <w:rFonts w:ascii="Arial" w:hAnsi="Arial" w:cs="Arial"/>
          <w:sz w:val="20"/>
          <w:szCs w:val="20"/>
        </w:rPr>
      </w:pPr>
      <w:r w:rsidRPr="006750F7">
        <w:rPr>
          <w:rFonts w:ascii="Arial" w:hAnsi="Arial" w:cs="Arial"/>
          <w:sz w:val="20"/>
          <w:szCs w:val="20"/>
        </w:rPr>
        <w:t xml:space="preserve">1. Remuneration for the part-time </w:t>
      </w:r>
      <w:r w:rsidR="00E00BAA">
        <w:rPr>
          <w:rFonts w:ascii="Arial" w:hAnsi="Arial" w:cs="Arial"/>
          <w:sz w:val="20"/>
          <w:szCs w:val="20"/>
        </w:rPr>
        <w:t>m</w:t>
      </w:r>
      <w:r w:rsidRPr="006750F7">
        <w:rPr>
          <w:rFonts w:ascii="Arial" w:hAnsi="Arial" w:cs="Arial"/>
          <w:sz w:val="20"/>
          <w:szCs w:val="20"/>
        </w:rPr>
        <w:t>ember</w:t>
      </w:r>
      <w:r w:rsidR="00E00BAA">
        <w:rPr>
          <w:rFonts w:ascii="Arial" w:hAnsi="Arial" w:cs="Arial"/>
          <w:sz w:val="20"/>
          <w:szCs w:val="20"/>
        </w:rPr>
        <w:t xml:space="preserve"> of the Board of Directors</w:t>
      </w:r>
      <w:r w:rsidRPr="006750F7">
        <w:rPr>
          <w:rFonts w:ascii="Arial" w:hAnsi="Arial" w:cs="Arial"/>
          <w:sz w:val="20"/>
          <w:szCs w:val="20"/>
        </w:rPr>
        <w:t>: VND 5,000,00</w:t>
      </w:r>
      <w:r w:rsidR="00E00BAA">
        <w:rPr>
          <w:rFonts w:ascii="Arial" w:hAnsi="Arial" w:cs="Arial"/>
          <w:sz w:val="20"/>
          <w:szCs w:val="20"/>
        </w:rPr>
        <w:t>0</w:t>
      </w:r>
      <w:r w:rsidRPr="006750F7">
        <w:rPr>
          <w:rFonts w:ascii="Arial" w:hAnsi="Arial" w:cs="Arial"/>
          <w:sz w:val="20"/>
          <w:szCs w:val="20"/>
        </w:rPr>
        <w:t>/person/month</w:t>
      </w:r>
    </w:p>
    <w:p w:rsidR="006750F7" w:rsidRPr="006750F7" w:rsidRDefault="006750F7" w:rsidP="006750F7">
      <w:pPr>
        <w:rPr>
          <w:rFonts w:ascii="Arial" w:hAnsi="Arial" w:cs="Arial"/>
          <w:sz w:val="20"/>
          <w:szCs w:val="20"/>
        </w:rPr>
      </w:pPr>
      <w:r w:rsidRPr="006750F7">
        <w:rPr>
          <w:rFonts w:ascii="Arial" w:hAnsi="Arial" w:cs="Arial"/>
          <w:sz w:val="20"/>
          <w:szCs w:val="20"/>
        </w:rPr>
        <w:t xml:space="preserve">2. Remuneration for </w:t>
      </w:r>
      <w:r w:rsidR="00E00BAA" w:rsidRPr="006750F7">
        <w:rPr>
          <w:rFonts w:ascii="Arial" w:hAnsi="Arial" w:cs="Arial"/>
          <w:sz w:val="20"/>
          <w:szCs w:val="20"/>
        </w:rPr>
        <w:t xml:space="preserve">the part-time </w:t>
      </w:r>
      <w:r w:rsidRPr="006750F7">
        <w:rPr>
          <w:rFonts w:ascii="Arial" w:hAnsi="Arial" w:cs="Arial"/>
          <w:sz w:val="20"/>
          <w:szCs w:val="20"/>
        </w:rPr>
        <w:t xml:space="preserve">members of the </w:t>
      </w:r>
      <w:r w:rsidR="00E00BAA">
        <w:rPr>
          <w:rFonts w:ascii="Arial" w:hAnsi="Arial" w:cs="Arial"/>
          <w:sz w:val="20"/>
          <w:szCs w:val="20"/>
        </w:rPr>
        <w:t>S</w:t>
      </w:r>
      <w:r w:rsidRPr="006750F7">
        <w:rPr>
          <w:rFonts w:ascii="Arial" w:hAnsi="Arial" w:cs="Arial"/>
          <w:sz w:val="20"/>
          <w:szCs w:val="20"/>
        </w:rPr>
        <w:t xml:space="preserve">upervisory </w:t>
      </w:r>
      <w:r w:rsidR="00E00BAA">
        <w:rPr>
          <w:rFonts w:ascii="Arial" w:hAnsi="Arial" w:cs="Arial"/>
          <w:sz w:val="20"/>
          <w:szCs w:val="20"/>
        </w:rPr>
        <w:t>B</w:t>
      </w:r>
      <w:r w:rsidRPr="006750F7">
        <w:rPr>
          <w:rFonts w:ascii="Arial" w:hAnsi="Arial" w:cs="Arial"/>
          <w:sz w:val="20"/>
          <w:szCs w:val="20"/>
        </w:rPr>
        <w:t>oard: VND 3,000,000/person/month.</w:t>
      </w:r>
    </w:p>
    <w:p w:rsidR="006750F7" w:rsidRPr="006750F7" w:rsidRDefault="006750F7" w:rsidP="006750F7">
      <w:pPr>
        <w:rPr>
          <w:rFonts w:ascii="Arial" w:hAnsi="Arial" w:cs="Arial"/>
          <w:sz w:val="20"/>
          <w:szCs w:val="20"/>
        </w:rPr>
      </w:pPr>
      <w:r w:rsidRPr="006750F7">
        <w:rPr>
          <w:rFonts w:ascii="Arial" w:hAnsi="Arial" w:cs="Arial"/>
          <w:sz w:val="20"/>
          <w:szCs w:val="20"/>
        </w:rPr>
        <w:t xml:space="preserve">3. Salaries and incomes of full-time members of </w:t>
      </w:r>
      <w:r w:rsidR="00E00BAA">
        <w:rPr>
          <w:rFonts w:ascii="Arial" w:hAnsi="Arial" w:cs="Arial"/>
          <w:sz w:val="20"/>
          <w:szCs w:val="20"/>
        </w:rPr>
        <w:t xml:space="preserve">the Board of Directors and </w:t>
      </w:r>
      <w:r w:rsidRPr="006750F7">
        <w:rPr>
          <w:rFonts w:ascii="Arial" w:hAnsi="Arial" w:cs="Arial"/>
          <w:sz w:val="20"/>
          <w:szCs w:val="20"/>
        </w:rPr>
        <w:t>the Supervisory Board shall comply with the Government's Decree No. 53/2016/N</w:t>
      </w:r>
      <w:r w:rsidR="00C2303E">
        <w:rPr>
          <w:rFonts w:ascii="Arial" w:hAnsi="Arial" w:cs="Arial"/>
          <w:sz w:val="20"/>
          <w:szCs w:val="20"/>
        </w:rPr>
        <w:t>D</w:t>
      </w:r>
      <w:r w:rsidRPr="006750F7">
        <w:rPr>
          <w:rFonts w:ascii="Arial" w:hAnsi="Arial" w:cs="Arial"/>
          <w:sz w:val="20"/>
          <w:szCs w:val="20"/>
        </w:rPr>
        <w:t xml:space="preserve">-CP dated </w:t>
      </w:r>
      <w:r w:rsidR="00C2303E">
        <w:rPr>
          <w:rFonts w:ascii="Arial" w:hAnsi="Arial" w:cs="Arial"/>
          <w:sz w:val="20"/>
          <w:szCs w:val="20"/>
        </w:rPr>
        <w:t>13</w:t>
      </w:r>
      <w:r w:rsidR="00C2303E" w:rsidRPr="00C2303E">
        <w:rPr>
          <w:rFonts w:ascii="Arial" w:hAnsi="Arial" w:cs="Arial"/>
          <w:sz w:val="20"/>
          <w:szCs w:val="20"/>
          <w:vertAlign w:val="superscript"/>
        </w:rPr>
        <w:t>th</w:t>
      </w:r>
      <w:r w:rsidR="00C2303E">
        <w:rPr>
          <w:rFonts w:ascii="Arial" w:hAnsi="Arial" w:cs="Arial"/>
          <w:sz w:val="20"/>
          <w:szCs w:val="20"/>
        </w:rPr>
        <w:t xml:space="preserve"> June, </w:t>
      </w:r>
      <w:r w:rsidRPr="006750F7">
        <w:rPr>
          <w:rFonts w:ascii="Arial" w:hAnsi="Arial" w:cs="Arial"/>
          <w:sz w:val="20"/>
          <w:szCs w:val="20"/>
        </w:rPr>
        <w:t xml:space="preserve">2016 and Circular </w:t>
      </w:r>
      <w:r w:rsidR="00C2303E">
        <w:rPr>
          <w:rFonts w:ascii="Arial" w:hAnsi="Arial" w:cs="Arial"/>
          <w:sz w:val="20"/>
          <w:szCs w:val="20"/>
        </w:rPr>
        <w:t xml:space="preserve">No. </w:t>
      </w:r>
      <w:r w:rsidRPr="006750F7">
        <w:rPr>
          <w:rFonts w:ascii="Arial" w:hAnsi="Arial" w:cs="Arial"/>
          <w:sz w:val="20"/>
          <w:szCs w:val="20"/>
        </w:rPr>
        <w:t>28/2016/TT-BLDTBXH</w:t>
      </w:r>
      <w:r w:rsidR="00C2303E">
        <w:rPr>
          <w:rFonts w:ascii="Arial" w:hAnsi="Arial" w:cs="Arial"/>
          <w:sz w:val="20"/>
          <w:szCs w:val="20"/>
        </w:rPr>
        <w:t xml:space="preserve"> dated</w:t>
      </w:r>
      <w:r w:rsidRPr="006750F7">
        <w:rPr>
          <w:rFonts w:ascii="Arial" w:hAnsi="Arial" w:cs="Arial"/>
          <w:sz w:val="20"/>
          <w:szCs w:val="20"/>
        </w:rPr>
        <w:t xml:space="preserve"> </w:t>
      </w:r>
      <w:r w:rsidR="00C2303E">
        <w:rPr>
          <w:rFonts w:ascii="Arial" w:hAnsi="Arial" w:cs="Arial"/>
          <w:sz w:val="20"/>
          <w:szCs w:val="20"/>
        </w:rPr>
        <w:t>1</w:t>
      </w:r>
      <w:r w:rsidR="00C2303E" w:rsidRPr="00C2303E">
        <w:rPr>
          <w:rFonts w:ascii="Arial" w:hAnsi="Arial" w:cs="Arial"/>
          <w:sz w:val="20"/>
          <w:szCs w:val="20"/>
          <w:vertAlign w:val="superscript"/>
        </w:rPr>
        <w:t>st</w:t>
      </w:r>
      <w:r w:rsidR="00C2303E">
        <w:rPr>
          <w:rFonts w:ascii="Arial" w:hAnsi="Arial" w:cs="Arial"/>
          <w:sz w:val="20"/>
          <w:szCs w:val="20"/>
        </w:rPr>
        <w:t xml:space="preserve"> </w:t>
      </w:r>
      <w:r w:rsidRPr="006750F7">
        <w:rPr>
          <w:rFonts w:ascii="Arial" w:hAnsi="Arial" w:cs="Arial"/>
          <w:sz w:val="20"/>
          <w:szCs w:val="20"/>
        </w:rPr>
        <w:t>September</w:t>
      </w:r>
      <w:r w:rsidR="00C2303E">
        <w:rPr>
          <w:rFonts w:ascii="Arial" w:hAnsi="Arial" w:cs="Arial"/>
          <w:sz w:val="20"/>
          <w:szCs w:val="20"/>
        </w:rPr>
        <w:t>,</w:t>
      </w:r>
      <w:r w:rsidRPr="006750F7">
        <w:rPr>
          <w:rFonts w:ascii="Arial" w:hAnsi="Arial" w:cs="Arial"/>
          <w:sz w:val="20"/>
          <w:szCs w:val="20"/>
        </w:rPr>
        <w:t xml:space="preserve"> 2009</w:t>
      </w:r>
      <w:r w:rsidR="00C2303E">
        <w:rPr>
          <w:rFonts w:ascii="Arial" w:hAnsi="Arial" w:cs="Arial"/>
          <w:sz w:val="20"/>
          <w:szCs w:val="20"/>
        </w:rPr>
        <w:t xml:space="preserve"> of</w:t>
      </w:r>
      <w:r w:rsidRPr="006750F7">
        <w:rPr>
          <w:rFonts w:ascii="Arial" w:hAnsi="Arial" w:cs="Arial"/>
          <w:sz w:val="20"/>
          <w:szCs w:val="20"/>
        </w:rPr>
        <w:t xml:space="preserve"> the Ministry of Labor, Invalids and Social Affairs </w:t>
      </w:r>
      <w:r w:rsidR="00C2303E">
        <w:rPr>
          <w:rFonts w:ascii="Arial" w:hAnsi="Arial" w:cs="Arial"/>
          <w:sz w:val="20"/>
          <w:szCs w:val="20"/>
        </w:rPr>
        <w:t xml:space="preserve">on guiding the implementation of regulations </w:t>
      </w:r>
      <w:r w:rsidRPr="006750F7">
        <w:rPr>
          <w:rFonts w:ascii="Arial" w:hAnsi="Arial" w:cs="Arial"/>
          <w:sz w:val="20"/>
          <w:szCs w:val="20"/>
        </w:rPr>
        <w:t xml:space="preserve">on </w:t>
      </w:r>
      <w:r w:rsidR="00C2303E">
        <w:rPr>
          <w:rFonts w:ascii="Arial" w:hAnsi="Arial" w:cs="Arial"/>
          <w:sz w:val="20"/>
          <w:szCs w:val="20"/>
        </w:rPr>
        <w:t>employment</w:t>
      </w:r>
      <w:r w:rsidRPr="006750F7">
        <w:rPr>
          <w:rFonts w:ascii="Arial" w:hAnsi="Arial" w:cs="Arial"/>
          <w:sz w:val="20"/>
          <w:szCs w:val="20"/>
        </w:rPr>
        <w:t xml:space="preserve">, </w:t>
      </w:r>
      <w:r w:rsidR="00C2303E">
        <w:rPr>
          <w:rFonts w:ascii="Arial" w:hAnsi="Arial" w:cs="Arial"/>
          <w:sz w:val="20"/>
          <w:szCs w:val="20"/>
        </w:rPr>
        <w:t>wages</w:t>
      </w:r>
      <w:r w:rsidRPr="006750F7">
        <w:rPr>
          <w:rFonts w:ascii="Arial" w:hAnsi="Arial" w:cs="Arial"/>
          <w:sz w:val="20"/>
          <w:szCs w:val="20"/>
        </w:rPr>
        <w:t xml:space="preserve">, remuneration, and </w:t>
      </w:r>
      <w:r w:rsidR="00C2303E">
        <w:rPr>
          <w:rFonts w:ascii="Arial" w:hAnsi="Arial" w:cs="Arial"/>
          <w:sz w:val="20"/>
          <w:szCs w:val="20"/>
        </w:rPr>
        <w:t>bonuses</w:t>
      </w:r>
      <w:r w:rsidRPr="006750F7">
        <w:rPr>
          <w:rFonts w:ascii="Arial" w:hAnsi="Arial" w:cs="Arial"/>
          <w:sz w:val="20"/>
          <w:szCs w:val="20"/>
        </w:rPr>
        <w:t xml:space="preserve"> for compan</w:t>
      </w:r>
      <w:r w:rsidR="00C2303E">
        <w:rPr>
          <w:rFonts w:ascii="Arial" w:hAnsi="Arial" w:cs="Arial"/>
          <w:sz w:val="20"/>
          <w:szCs w:val="20"/>
        </w:rPr>
        <w:t>y</w:t>
      </w:r>
      <w:r w:rsidRPr="006750F7">
        <w:rPr>
          <w:rFonts w:ascii="Arial" w:hAnsi="Arial" w:cs="Arial"/>
          <w:sz w:val="20"/>
          <w:szCs w:val="20"/>
        </w:rPr>
        <w:t xml:space="preserve"> with the State</w:t>
      </w:r>
      <w:r w:rsidR="00C2303E">
        <w:rPr>
          <w:rFonts w:ascii="Arial" w:hAnsi="Arial" w:cs="Arial"/>
          <w:sz w:val="20"/>
          <w:szCs w:val="20"/>
        </w:rPr>
        <w:t xml:space="preserve"> elements and</w:t>
      </w:r>
      <w:r w:rsidRPr="006750F7">
        <w:rPr>
          <w:rFonts w:ascii="Arial" w:hAnsi="Arial" w:cs="Arial"/>
          <w:sz w:val="20"/>
          <w:szCs w:val="20"/>
        </w:rPr>
        <w:t xml:space="preserve"> </w:t>
      </w:r>
      <w:r w:rsidR="00C2303E">
        <w:rPr>
          <w:rFonts w:ascii="Arial" w:hAnsi="Arial" w:cs="Arial"/>
          <w:sz w:val="20"/>
          <w:szCs w:val="20"/>
        </w:rPr>
        <w:t>r</w:t>
      </w:r>
      <w:r w:rsidRPr="006750F7">
        <w:rPr>
          <w:rFonts w:ascii="Arial" w:hAnsi="Arial" w:cs="Arial"/>
          <w:sz w:val="20"/>
          <w:szCs w:val="20"/>
        </w:rPr>
        <w:t>egulations of the parent company - Vietnam Oil and Gas Group.</w:t>
      </w:r>
    </w:p>
    <w:p w:rsidR="006750F7" w:rsidRPr="006750F7" w:rsidRDefault="006750F7" w:rsidP="006750F7">
      <w:pPr>
        <w:rPr>
          <w:rFonts w:ascii="Arial" w:hAnsi="Arial" w:cs="Arial"/>
          <w:sz w:val="20"/>
          <w:szCs w:val="20"/>
        </w:rPr>
      </w:pPr>
      <w:r w:rsidRPr="00C2303E">
        <w:rPr>
          <w:rFonts w:ascii="Arial" w:hAnsi="Arial" w:cs="Arial"/>
          <w:b/>
          <w:sz w:val="20"/>
          <w:szCs w:val="20"/>
        </w:rPr>
        <w:t>Article 12.</w:t>
      </w:r>
      <w:r w:rsidRPr="006750F7">
        <w:rPr>
          <w:rFonts w:ascii="Arial" w:hAnsi="Arial" w:cs="Arial"/>
          <w:sz w:val="20"/>
          <w:szCs w:val="20"/>
        </w:rPr>
        <w:t xml:space="preserve"> Effect</w:t>
      </w:r>
    </w:p>
    <w:p w:rsidR="006750F7" w:rsidRPr="006750F7" w:rsidRDefault="006750F7" w:rsidP="006750F7">
      <w:pPr>
        <w:rPr>
          <w:rFonts w:ascii="Arial" w:hAnsi="Arial" w:cs="Arial"/>
          <w:sz w:val="20"/>
          <w:szCs w:val="20"/>
        </w:rPr>
      </w:pPr>
      <w:r w:rsidRPr="006750F7">
        <w:rPr>
          <w:rFonts w:ascii="Arial" w:hAnsi="Arial" w:cs="Arial"/>
          <w:sz w:val="20"/>
          <w:szCs w:val="20"/>
        </w:rPr>
        <w:t xml:space="preserve">1. This Resolution takes effect from the date of signing. At the request of the competent authority or the procedure </w:t>
      </w:r>
      <w:r w:rsidR="00C2303E">
        <w:rPr>
          <w:rFonts w:ascii="Arial" w:hAnsi="Arial" w:cs="Arial"/>
          <w:sz w:val="20"/>
          <w:szCs w:val="20"/>
        </w:rPr>
        <w:t>for</w:t>
      </w:r>
      <w:r w:rsidRPr="006750F7">
        <w:rPr>
          <w:rFonts w:ascii="Arial" w:hAnsi="Arial" w:cs="Arial"/>
          <w:sz w:val="20"/>
          <w:szCs w:val="20"/>
        </w:rPr>
        <w:t xml:space="preserve"> the parties concerned, the contents of this Resolution may be issued separately into different </w:t>
      </w:r>
      <w:r w:rsidR="00C2303E">
        <w:rPr>
          <w:rFonts w:ascii="Arial" w:hAnsi="Arial" w:cs="Arial"/>
          <w:sz w:val="20"/>
          <w:szCs w:val="20"/>
        </w:rPr>
        <w:t>R</w:t>
      </w:r>
      <w:r w:rsidRPr="006750F7">
        <w:rPr>
          <w:rFonts w:ascii="Arial" w:hAnsi="Arial" w:cs="Arial"/>
          <w:sz w:val="20"/>
          <w:szCs w:val="20"/>
        </w:rPr>
        <w:t xml:space="preserve">esolutions and not contrary to the contents </w:t>
      </w:r>
      <w:r w:rsidR="00C2303E">
        <w:rPr>
          <w:rFonts w:ascii="Arial" w:hAnsi="Arial" w:cs="Arial"/>
          <w:sz w:val="20"/>
          <w:szCs w:val="20"/>
        </w:rPr>
        <w:t>approved by</w:t>
      </w:r>
      <w:r w:rsidRPr="006750F7">
        <w:rPr>
          <w:rFonts w:ascii="Arial" w:hAnsi="Arial" w:cs="Arial"/>
          <w:sz w:val="20"/>
          <w:szCs w:val="20"/>
        </w:rPr>
        <w:t xml:space="preserve"> the General </w:t>
      </w:r>
      <w:r w:rsidR="00C2303E">
        <w:rPr>
          <w:rFonts w:ascii="Arial" w:hAnsi="Arial" w:cs="Arial"/>
          <w:sz w:val="20"/>
          <w:szCs w:val="20"/>
        </w:rPr>
        <w:t>Meeting</w:t>
      </w:r>
      <w:r w:rsidRPr="006750F7">
        <w:rPr>
          <w:rFonts w:ascii="Arial" w:hAnsi="Arial" w:cs="Arial"/>
          <w:sz w:val="20"/>
          <w:szCs w:val="20"/>
        </w:rPr>
        <w:t xml:space="preserve"> of Shareholders. </w:t>
      </w:r>
    </w:p>
    <w:p w:rsidR="007B52EF" w:rsidRPr="001D29CB" w:rsidRDefault="006750F7" w:rsidP="006750F7">
      <w:pPr>
        <w:rPr>
          <w:rFonts w:ascii="Arial" w:hAnsi="Arial" w:cs="Arial"/>
          <w:sz w:val="20"/>
          <w:szCs w:val="20"/>
        </w:rPr>
      </w:pPr>
      <w:r w:rsidRPr="006750F7">
        <w:rPr>
          <w:rFonts w:ascii="Arial" w:hAnsi="Arial" w:cs="Arial"/>
          <w:sz w:val="20"/>
          <w:szCs w:val="20"/>
        </w:rPr>
        <w:t>2. The Board</w:t>
      </w:r>
      <w:r w:rsidR="00C2303E">
        <w:rPr>
          <w:rFonts w:ascii="Arial" w:hAnsi="Arial" w:cs="Arial"/>
          <w:sz w:val="20"/>
          <w:szCs w:val="20"/>
        </w:rPr>
        <w:t xml:space="preserve"> of Directors</w:t>
      </w:r>
      <w:r w:rsidRPr="006750F7">
        <w:rPr>
          <w:rFonts w:ascii="Arial" w:hAnsi="Arial" w:cs="Arial"/>
          <w:sz w:val="20"/>
          <w:szCs w:val="20"/>
        </w:rPr>
        <w:t xml:space="preserve">, the </w:t>
      </w:r>
      <w:r w:rsidR="00C2303E">
        <w:rPr>
          <w:rFonts w:ascii="Arial" w:hAnsi="Arial" w:cs="Arial"/>
          <w:sz w:val="20"/>
          <w:szCs w:val="20"/>
        </w:rPr>
        <w:t>Supervisory</w:t>
      </w:r>
      <w:r w:rsidRPr="006750F7">
        <w:rPr>
          <w:rFonts w:ascii="Arial" w:hAnsi="Arial" w:cs="Arial"/>
          <w:sz w:val="20"/>
          <w:szCs w:val="20"/>
        </w:rPr>
        <w:t xml:space="preserve"> Board and the </w:t>
      </w:r>
      <w:r w:rsidR="00C2303E">
        <w:rPr>
          <w:rFonts w:ascii="Arial" w:hAnsi="Arial" w:cs="Arial"/>
          <w:sz w:val="20"/>
          <w:szCs w:val="20"/>
        </w:rPr>
        <w:t xml:space="preserve">Board of </w:t>
      </w:r>
      <w:r w:rsidRPr="006750F7">
        <w:rPr>
          <w:rFonts w:ascii="Arial" w:hAnsi="Arial" w:cs="Arial"/>
          <w:sz w:val="20"/>
          <w:szCs w:val="20"/>
        </w:rPr>
        <w:t>General Director</w:t>
      </w:r>
      <w:r w:rsidR="00C2303E">
        <w:rPr>
          <w:rFonts w:ascii="Arial" w:hAnsi="Arial" w:cs="Arial"/>
          <w:sz w:val="20"/>
          <w:szCs w:val="20"/>
        </w:rPr>
        <w:t>s</w:t>
      </w:r>
      <w:r w:rsidRPr="006750F7">
        <w:rPr>
          <w:rFonts w:ascii="Arial" w:hAnsi="Arial" w:cs="Arial"/>
          <w:sz w:val="20"/>
          <w:szCs w:val="20"/>
        </w:rPr>
        <w:t xml:space="preserve"> shall implement this Resolution</w:t>
      </w:r>
      <w:proofErr w:type="gramStart"/>
      <w:r w:rsidRPr="006750F7">
        <w:rPr>
          <w:rFonts w:ascii="Arial" w:hAnsi="Arial" w:cs="Arial"/>
          <w:sz w:val="20"/>
          <w:szCs w:val="20"/>
        </w:rPr>
        <w:t>.</w:t>
      </w:r>
      <w:r w:rsidR="00C2303E">
        <w:rPr>
          <w:rFonts w:ascii="Arial" w:hAnsi="Arial" w:cs="Arial"/>
          <w:sz w:val="20"/>
          <w:szCs w:val="20"/>
        </w:rPr>
        <w:t>/</w:t>
      </w:r>
      <w:proofErr w:type="gramEnd"/>
      <w:r w:rsidR="00C2303E">
        <w:rPr>
          <w:rFonts w:ascii="Arial" w:hAnsi="Arial" w:cs="Arial"/>
          <w:sz w:val="20"/>
          <w:szCs w:val="20"/>
        </w:rPr>
        <w:t>.</w:t>
      </w:r>
    </w:p>
    <w:sectPr w:rsidR="007B52EF" w:rsidRPr="001D29CB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92A3E"/>
    <w:multiLevelType w:val="hybridMultilevel"/>
    <w:tmpl w:val="1924BF3A"/>
    <w:lvl w:ilvl="0" w:tplc="9E70D4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29CB"/>
    <w:rsid w:val="00046E83"/>
    <w:rsid w:val="000F393F"/>
    <w:rsid w:val="00177824"/>
    <w:rsid w:val="001836C3"/>
    <w:rsid w:val="001D29CB"/>
    <w:rsid w:val="001D5DF4"/>
    <w:rsid w:val="001E4618"/>
    <w:rsid w:val="002372F5"/>
    <w:rsid w:val="002D1A5A"/>
    <w:rsid w:val="002F73AB"/>
    <w:rsid w:val="00301404"/>
    <w:rsid w:val="00320AE8"/>
    <w:rsid w:val="00365F36"/>
    <w:rsid w:val="003C42B0"/>
    <w:rsid w:val="003E5FBB"/>
    <w:rsid w:val="004507D5"/>
    <w:rsid w:val="004553DB"/>
    <w:rsid w:val="004878CB"/>
    <w:rsid w:val="0049165F"/>
    <w:rsid w:val="00510607"/>
    <w:rsid w:val="00513676"/>
    <w:rsid w:val="005D7224"/>
    <w:rsid w:val="006619F4"/>
    <w:rsid w:val="006750F7"/>
    <w:rsid w:val="006A3D28"/>
    <w:rsid w:val="00713E65"/>
    <w:rsid w:val="00791706"/>
    <w:rsid w:val="007B52EF"/>
    <w:rsid w:val="0084057E"/>
    <w:rsid w:val="008B0163"/>
    <w:rsid w:val="008E7602"/>
    <w:rsid w:val="009D71C1"/>
    <w:rsid w:val="00A03127"/>
    <w:rsid w:val="00A56205"/>
    <w:rsid w:val="00AC25B2"/>
    <w:rsid w:val="00B17897"/>
    <w:rsid w:val="00B178CD"/>
    <w:rsid w:val="00B93D4D"/>
    <w:rsid w:val="00B94EED"/>
    <w:rsid w:val="00C01E56"/>
    <w:rsid w:val="00C14F98"/>
    <w:rsid w:val="00C2303E"/>
    <w:rsid w:val="00C36D71"/>
    <w:rsid w:val="00CE584D"/>
    <w:rsid w:val="00D400FF"/>
    <w:rsid w:val="00DE2259"/>
    <w:rsid w:val="00DE34E5"/>
    <w:rsid w:val="00E00BAA"/>
    <w:rsid w:val="00E40A80"/>
    <w:rsid w:val="00E613E4"/>
    <w:rsid w:val="00E949FB"/>
    <w:rsid w:val="00EE4DB6"/>
    <w:rsid w:val="00EE78BA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62102-6C2F-4849-97C9-FBFECD12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ED"/>
    <w:pPr>
      <w:ind w:left="720"/>
      <w:contextualSpacing/>
    </w:pPr>
  </w:style>
  <w:style w:type="table" w:styleId="TableGrid">
    <w:name w:val="Table Grid"/>
    <w:basedOn w:val="TableNormal"/>
    <w:uiPriority w:val="59"/>
    <w:rsid w:val="00B94EE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17</cp:revision>
  <dcterms:created xsi:type="dcterms:W3CDTF">2017-05-11T10:17:00Z</dcterms:created>
  <dcterms:modified xsi:type="dcterms:W3CDTF">2017-05-12T09:04:00Z</dcterms:modified>
</cp:coreProperties>
</file>